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shd w:val="clear" w:color="auto" w:fill="002B5C"/>
      </w:pPr>
      <w:r>
        <w:rPr>
          <w:rFonts w:ascii="Calibri" w:hAnsi="Calibri"/>
          <w:b/>
          <w:color w:val="FFFFFF"/>
          <w:sz w:val="28"/>
        </w:rPr>
        <w:t xml:space="preserve">  TUCKERTON GROUP  ·  TLC II LLC</w:t>
      </w:r>
    </w:p>
    <w:p>
      <w:pPr>
        <w:spacing w:before="0" w:after="240"/>
        <w:shd w:val="clear" w:color="auto" w:fill="C59E3C"/>
      </w:pPr>
      <w:r>
        <w:t xml:space="preserve">  </w:t>
      </w:r>
    </w:p>
    <w:p>
      <w:pPr>
        <w:spacing w:after="240"/>
      </w:pPr>
      <w:r>
        <w:rPr>
          <w:rFonts w:ascii="Calibri" w:hAnsi="Calibri"/>
          <w:b/>
          <w:color w:val="002B5C"/>
          <w:sz w:val="36"/>
        </w:rPr>
        <w:t>MEMORANDUM</w:t>
      </w:r>
    </w:p>
    <w:p>
      <w:pPr>
        <w:spacing w:before="0" w:after="60"/>
      </w:pPr>
      <w:r>
        <w:rPr>
          <w:rFonts w:ascii="Calibri" w:hAnsi="Calibri"/>
          <w:b/>
          <w:color w:val="002B5C"/>
          <w:sz w:val="21"/>
        </w:rPr>
        <w:t xml:space="preserve">TO:  </w:t>
      </w:r>
      <w:r>
        <w:rPr>
          <w:rFonts w:ascii="Calibri" w:hAnsi="Calibri"/>
          <w:color w:val="1A1A1A"/>
          <w:sz w:val="21"/>
        </w:rPr>
        <w:t>Robert MacArthur, CPA</w:t>
      </w:r>
    </w:p>
    <w:p>
      <w:pPr>
        <w:spacing w:before="0" w:after="60"/>
      </w:pPr>
      <w:r>
        <w:rPr>
          <w:rFonts w:ascii="Calibri" w:hAnsi="Calibri"/>
          <w:b/>
          <w:color w:val="002B5C"/>
          <w:sz w:val="21"/>
        </w:rPr>
        <w:t xml:space="preserve">FROM:  </w:t>
      </w:r>
      <w:r>
        <w:rPr>
          <w:rFonts w:ascii="Calibri" w:hAnsi="Calibri"/>
          <w:color w:val="1A1A1A"/>
          <w:sz w:val="21"/>
        </w:rPr>
        <w:t>Joseph Lynch, Managing Member — TLC II LLC</w:t>
      </w:r>
    </w:p>
    <w:p>
      <w:pPr>
        <w:spacing w:before="0" w:after="60"/>
      </w:pPr>
      <w:r>
        <w:rPr>
          <w:rFonts w:ascii="Calibri" w:hAnsi="Calibri"/>
          <w:b/>
          <w:color w:val="002B5C"/>
          <w:sz w:val="21"/>
        </w:rPr>
        <w:t xml:space="preserve">RE:  </w:t>
      </w:r>
      <w:r>
        <w:rPr>
          <w:rFonts w:ascii="Calibri" w:hAnsi="Calibri"/>
          <w:color w:val="1A1A1A"/>
          <w:sz w:val="21"/>
        </w:rPr>
        <w:t>Justification for Managing Member Compensation — Tuckerton Group</w:t>
      </w:r>
    </w:p>
    <w:p>
      <w:pPr>
        <w:spacing w:before="0" w:after="60"/>
      </w:pPr>
      <w:r>
        <w:rPr>
          <w:rFonts w:ascii="Calibri" w:hAnsi="Calibri"/>
          <w:b/>
          <w:color w:val="002B5C"/>
          <w:sz w:val="21"/>
        </w:rPr>
        <w:t xml:space="preserve">DATE:  </w:t>
      </w:r>
      <w:r>
        <w:rPr>
          <w:rFonts w:ascii="Calibri" w:hAnsi="Calibri"/>
          <w:color w:val="1A1A1A"/>
          <w:sz w:val="21"/>
        </w:rPr>
        <w:t>April 2026</w:t>
      </w:r>
    </w:p>
    <w:p>
      <w:pPr>
        <w:spacing w:before="0" w:after="60"/>
      </w:pPr>
      <w:r>
        <w:rPr>
          <w:rFonts w:ascii="Calibri" w:hAnsi="Calibri"/>
          <w:b/>
          <w:color w:val="002B5C"/>
          <w:sz w:val="21"/>
        </w:rPr>
        <w:t xml:space="preserve">CLASSIFICATION:  </w:t>
      </w:r>
      <w:r>
        <w:rPr>
          <w:rFonts w:ascii="Calibri" w:hAnsi="Calibri"/>
          <w:color w:val="1A1A1A"/>
          <w:sz w:val="21"/>
        </w:rPr>
        <w:t>Confidential</w:t>
      </w:r>
    </w:p>
    <w:p>
      <w:pPr>
        <w:spacing w:before="200" w:after="200"/>
        <w:pBdr>
          <w:bottom w:val="single" w:sz="8" w:space="1" w:color="002B5C"/>
        </w:pBdr>
      </w:pPr>
    </w:p>
    <w:p>
      <w:pPr>
        <w:keepNext/>
        <w:spacing w:before="280" w:after="80"/>
        <w:pBdr>
          <w:bottom w:val="single" w:sz="4" w:space="1" w:color="C59E3C"/>
        </w:pBdr>
      </w:pPr>
      <w:r>
        <w:rPr>
          <w:rFonts w:ascii="Calibri" w:hAnsi="Calibri"/>
          <w:b/>
          <w:color w:val="002B5C"/>
          <w:sz w:val="24"/>
        </w:rPr>
        <w:t>I.  EXECUTIVE SUMMARY</w:t>
      </w:r>
    </w:p>
    <w:p>
      <w:pPr>
        <w:spacing w:before="0" w:after="160"/>
      </w:pPr>
      <w:r>
        <w:rPr>
          <w:rFonts w:ascii="Calibri" w:hAnsi="Calibri"/>
          <w:color w:val="1A1A1A"/>
          <w:sz w:val="21"/>
        </w:rPr>
        <w:t>My current management fee of $175,000 annually, while appropriate during the stabilization and turnaround phase that began in July 2022, no longer reflects the market value of services rendered, the scope of responsibilities now carried, or the financial outcomes delivered to the members of TLC II LLC.</w:t>
      </w:r>
    </w:p>
    <w:p>
      <w:pPr>
        <w:spacing w:before="0" w:after="160"/>
      </w:pPr>
      <w:r>
        <w:rPr>
          <w:rFonts w:ascii="Calibri" w:hAnsi="Calibri"/>
          <w:color w:val="1A1A1A"/>
          <w:sz w:val="21"/>
        </w:rPr>
        <w:t>The purpose of this memorandum is to document a compensation adjustment that accurately reflects CEO-equivalent responsibilities across a multi-entity operating enterprise — and to establish a W-2 salary structure that supports meaningful, tax-advantaged retirement plan contributions going forward.</w:t>
      </w:r>
    </w:p>
    <w:p>
      <w:pPr>
        <w:keepNext/>
        <w:spacing w:before="280" w:after="80"/>
        <w:pBdr>
          <w:bottom w:val="single" w:sz="4" w:space="1" w:color="C59E3C"/>
        </w:pBdr>
      </w:pPr>
      <w:r>
        <w:rPr>
          <w:rFonts w:ascii="Calibri" w:hAnsi="Calibri"/>
          <w:b/>
          <w:color w:val="002B5C"/>
          <w:sz w:val="24"/>
        </w:rPr>
        <w:t>II.  THE ROLE: NOT A STORE MANAGER — A CEO</w:t>
      </w:r>
    </w:p>
    <w:p>
      <w:pPr>
        <w:spacing w:before="0" w:after="160"/>
      </w:pPr>
      <w:r>
        <w:rPr>
          <w:rFonts w:ascii="Calibri" w:hAnsi="Calibri"/>
          <w:color w:val="1A1A1A"/>
          <w:sz w:val="21"/>
        </w:rPr>
        <w:t>As Managing Member of TLC II LLC, I serve as the sole executive of a multi-entity holding company with no co-executive, no CFO on payroll, and no COO. I carry the full weight of every C-suite function across the following operating entities:</w:t>
      </w:r>
    </w:p>
    <w:p>
      <w:pPr>
        <w:pStyle w:val="ListBullet"/>
        <w:spacing w:before="40" w:after="80"/>
        <w:ind w:left="504"/>
      </w:pPr>
      <w:r>
        <w:rPr>
          <w:rFonts w:ascii="Calibri" w:hAnsi="Calibri"/>
          <w:b/>
          <w:color w:val="002B5C"/>
          <w:sz w:val="21"/>
        </w:rPr>
        <w:t xml:space="preserve">Tuckerton Lumber Company  </w:t>
      </w:r>
      <w:r>
        <w:rPr>
          <w:rFonts w:ascii="Calibri" w:hAnsi="Calibri"/>
          <w:color w:val="1A1A1A"/>
          <w:sz w:val="21"/>
        </w:rPr>
        <w:t>— A 90+ year-old legacy business operating from two locations (Tuckerton and Surf City), carrying the Benjamin Moore brand, running the Epicor ERP platform, and generating approximately $16–17M in annual revenue.</w:t>
      </w:r>
    </w:p>
    <w:p>
      <w:pPr>
        <w:pStyle w:val="ListBullet"/>
        <w:spacing w:before="40" w:after="80"/>
        <w:ind w:left="504"/>
      </w:pPr>
      <w:r>
        <w:rPr>
          <w:rFonts w:ascii="Calibri" w:hAnsi="Calibri"/>
          <w:b/>
          <w:color w:val="002B5C"/>
          <w:sz w:val="21"/>
        </w:rPr>
        <w:t xml:space="preserve">Surfbox Portable Storage  </w:t>
      </w:r>
      <w:r>
        <w:rPr>
          <w:rFonts w:ascii="Calibri" w:hAnsi="Calibri"/>
          <w:color w:val="1A1A1A"/>
          <w:sz w:val="21"/>
        </w:rPr>
        <w:t>— Built from zero to approaching $1M in annual revenue. I own all operations, customer relationships, pricing strategy, and growth direction.</w:t>
      </w:r>
    </w:p>
    <w:p>
      <w:pPr>
        <w:pStyle w:val="ListBullet"/>
        <w:spacing w:before="40" w:after="80"/>
        <w:ind w:left="504"/>
      </w:pPr>
      <w:r>
        <w:rPr>
          <w:rFonts w:ascii="Calibri" w:hAnsi="Calibri"/>
          <w:color w:val="1A1A1A"/>
          <w:sz w:val="21"/>
        </w:rPr>
        <w:t>TLC 539 LLC  — Commercial real estate holdings.</w:t>
      </w:r>
    </w:p>
    <w:p>
      <w:pPr>
        <w:pStyle w:val="ListBullet"/>
        <w:spacing w:before="40" w:after="80"/>
        <w:ind w:left="504"/>
      </w:pPr>
      <w:r>
        <w:rPr>
          <w:rFonts w:ascii="Calibri" w:hAnsi="Calibri"/>
          <w:color w:val="1A1A1A"/>
          <w:sz w:val="21"/>
        </w:rPr>
        <w:t>TLC Land Holding LLC  — Strategic land assets.</w:t>
      </w:r>
    </w:p>
    <w:p>
      <w:pPr>
        <w:pStyle w:val="ListBullet"/>
        <w:spacing w:before="40" w:after="80"/>
        <w:ind w:left="504"/>
      </w:pPr>
      <w:r>
        <w:rPr>
          <w:rFonts w:ascii="Calibri" w:hAnsi="Calibri"/>
          <w:color w:val="1A1A1A"/>
          <w:sz w:val="21"/>
        </w:rPr>
        <w:t>TLC II LLC  — Parent entity; 50% ownership with minority shareholders present.</w:t>
      </w:r>
    </w:p>
    <w:p>
      <w:pPr>
        <w:spacing w:before="160" w:after="160"/>
      </w:pPr>
      <w:r>
        <w:rPr>
          <w:rFonts w:ascii="Calibri" w:hAnsi="Calibri"/>
          <w:color w:val="1A1A1A"/>
          <w:sz w:val="21"/>
        </w:rPr>
        <w:t>Across these entities, I function simultaneously as Chief Executive Officer, Chief Financial Officer, Chief Operating Officer, HR Director, Chief Strategy Officer, Legal Liaison, and Real Estate Developer. This is not a hyperbole — it is the operational reality of running a lean, privately held enterprise with no redundant executive overhead.</w:t>
      </w:r>
    </w:p>
    <w:p>
      <w:pPr>
        <w:keepNext/>
        <w:spacing w:before="280" w:after="80"/>
        <w:pBdr>
          <w:bottom w:val="single" w:sz="4" w:space="1" w:color="C59E3C"/>
        </w:pBdr>
      </w:pPr>
      <w:r>
        <w:rPr>
          <w:rFonts w:ascii="Calibri" w:hAnsi="Calibri"/>
          <w:b/>
          <w:color w:val="002B5C"/>
          <w:sz w:val="24"/>
        </w:rPr>
        <w:t>III.  WHAT HAS BEEN DELIVERED</w:t>
      </w:r>
    </w:p>
    <w:p>
      <w:pPr>
        <w:spacing w:before="0" w:after="120"/>
      </w:pPr>
      <w:r>
        <w:rPr>
          <w:rFonts w:ascii="Calibri" w:hAnsi="Calibri"/>
          <w:color w:val="1A1A1A"/>
          <w:sz w:val="21"/>
        </w:rPr>
        <w:t>Over the past four years, the following outcomes have been achieved:</w:t>
      </w:r>
    </w:p>
    <w:p>
      <w:pPr>
        <w:pStyle w:val="ListBullet"/>
        <w:spacing w:before="40" w:after="100"/>
        <w:ind w:left="504"/>
      </w:pPr>
      <w:r>
        <w:rPr>
          <w:rFonts w:ascii="Calibri" w:hAnsi="Calibri"/>
          <w:b/>
          <w:color w:val="002B5C"/>
          <w:sz w:val="21"/>
        </w:rPr>
        <w:t xml:space="preserve">Preserved and stabilized a 90-year-old institution </w:t>
      </w:r>
      <w:r>
        <w:rPr>
          <w:rFonts w:ascii="Calibri" w:hAnsi="Calibri"/>
          <w:color w:val="1A1A1A"/>
          <w:sz w:val="21"/>
        </w:rPr>
        <w:t>through post-COVID lumber market volatility — protecting jobs, supplier relationships, and community standing.</w:t>
      </w:r>
    </w:p>
    <w:p>
      <w:pPr>
        <w:pStyle w:val="ListBullet"/>
        <w:spacing w:before="40" w:after="100"/>
        <w:ind w:left="504"/>
      </w:pPr>
      <w:r>
        <w:rPr>
          <w:rFonts w:ascii="Calibri" w:hAnsi="Calibri"/>
          <w:b/>
          <w:color w:val="002B5C"/>
          <w:sz w:val="21"/>
        </w:rPr>
        <w:t xml:space="preserve">Built Surfbox Portable Storage from concept to nearly $1M in revenue </w:t>
      </w:r>
      <w:r>
        <w:rPr>
          <w:rFonts w:ascii="Calibri" w:hAnsi="Calibri"/>
          <w:color w:val="1A1A1A"/>
          <w:sz w:val="21"/>
        </w:rPr>
        <w:t>— a new profit center created from scratch with no outside capital.</w:t>
      </w:r>
    </w:p>
    <w:p>
      <w:pPr>
        <w:pStyle w:val="ListBullet"/>
        <w:spacing w:before="40" w:after="100"/>
        <w:ind w:left="504"/>
      </w:pPr>
      <w:r>
        <w:rPr>
          <w:rFonts w:ascii="Calibri" w:hAnsi="Calibri"/>
          <w:b/>
          <w:color w:val="002B5C"/>
          <w:sz w:val="21"/>
        </w:rPr>
        <w:t xml:space="preserve">Grew members' equity from ~$1.4M to $1.5M+ </w:t>
      </w:r>
      <w:r>
        <w:rPr>
          <w:rFonts w:ascii="Calibri" w:hAnsi="Calibri"/>
          <w:color w:val="1A1A1A"/>
          <w:sz w:val="21"/>
        </w:rPr>
        <w:t>while distributing over $212,000 to shareholders.</w:t>
      </w:r>
    </w:p>
    <w:p>
      <w:pPr>
        <w:pStyle w:val="ListBullet"/>
        <w:spacing w:before="40" w:after="100"/>
        <w:ind w:left="504"/>
      </w:pPr>
      <w:r>
        <w:rPr>
          <w:rFonts w:ascii="Calibri" w:hAnsi="Calibri"/>
          <w:b/>
          <w:color w:val="002B5C"/>
          <w:sz w:val="21"/>
        </w:rPr>
        <w:t xml:space="preserve">Delivered $737K+ in operating income on $16.5M in revenue </w:t>
      </w:r>
      <w:r>
        <w:rPr>
          <w:rFonts w:ascii="Calibri" w:hAnsi="Calibri"/>
          <w:color w:val="1A1A1A"/>
          <w:sz w:val="21"/>
        </w:rPr>
        <w:t>— holding the line through one of the most volatile cost environments in the industry's history.</w:t>
      </w:r>
    </w:p>
    <w:p>
      <w:pPr>
        <w:pStyle w:val="ListBullet"/>
        <w:spacing w:before="40" w:after="100"/>
        <w:ind w:left="504"/>
      </w:pPr>
      <w:r>
        <w:rPr>
          <w:rFonts w:ascii="Calibri" w:hAnsi="Calibri"/>
          <w:b/>
          <w:color w:val="002B5C"/>
          <w:sz w:val="21"/>
        </w:rPr>
        <w:t xml:space="preserve">Strategically positioned real estate assets </w:t>
      </w:r>
      <w:r>
        <w:rPr>
          <w:rFonts w:ascii="Calibri" w:hAnsi="Calibri"/>
          <w:color w:val="1A1A1A"/>
          <w:sz w:val="21"/>
        </w:rPr>
        <w:t>that have appreciated meaningfully since acquisition.</w:t>
      </w:r>
    </w:p>
    <w:p>
      <w:pPr>
        <w:pStyle w:val="ListBullet"/>
        <w:spacing w:before="40" w:after="100"/>
        <w:ind w:left="504"/>
      </w:pPr>
      <w:r>
        <w:rPr>
          <w:rFonts w:ascii="Calibri" w:hAnsi="Calibri"/>
          <w:b/>
          <w:color w:val="002B5C"/>
          <w:sz w:val="21"/>
        </w:rPr>
        <w:t xml:space="preserve">Resolved complex HR, zoning compliance, and capital allocation matters </w:t>
      </w:r>
      <w:r>
        <w:rPr>
          <w:rFonts w:ascii="Calibri" w:hAnsi="Calibri"/>
          <w:color w:val="1A1A1A"/>
          <w:sz w:val="21"/>
        </w:rPr>
        <w:t>without reliance on outside consultants — saving the business material professional fees.</w:t>
      </w:r>
    </w:p>
    <w:p>
      <w:pPr>
        <w:keepNext/>
        <w:spacing w:before="280" w:after="80"/>
        <w:pBdr>
          <w:bottom w:val="single" w:sz="4" w:space="1" w:color="C59E3C"/>
        </w:pBdr>
      </w:pPr>
      <w:r>
        <w:rPr>
          <w:rFonts w:ascii="Calibri" w:hAnsi="Calibri"/>
          <w:b/>
          <w:color w:val="002B5C"/>
          <w:sz w:val="24"/>
        </w:rPr>
        <w:t>IV.  MARKET COMPARABLES</w:t>
      </w:r>
    </w:p>
    <w:p>
      <w:pPr>
        <w:spacing w:before="0" w:after="160"/>
      </w:pPr>
      <w:r>
        <w:rPr>
          <w:rFonts w:ascii="Calibri" w:hAnsi="Calibri"/>
          <w:color w:val="1A1A1A"/>
          <w:sz w:val="21"/>
        </w:rPr>
        <w:t>Compensation benchmarks for privately held businesses of comparable scale and complexity support the following ranges for a CEO/Managing Member role:</w:t>
      </w:r>
    </w:p>
    <w:p>
      <w:pPr>
        <w:spacing w:before="60" w:after="100"/>
        <w:ind w:left="288"/>
      </w:pPr>
      <w:r>
        <w:rPr>
          <w:rFonts w:ascii="Calibri" w:hAnsi="Calibri"/>
          <w:b/>
          <w:color w:val="002B5C"/>
          <w:sz w:val="21"/>
        </w:rPr>
        <w:t xml:space="preserve">Independent Hardware &amp; Lumber Dealer CEO  </w:t>
      </w:r>
      <w:r>
        <w:rPr>
          <w:rFonts w:ascii="Calibri" w:hAnsi="Calibri"/>
          <w:i/>
          <w:color w:val="404040"/>
          <w:sz w:val="20"/>
        </w:rPr>
        <w:t>(~$15–20M revenue, NRHA Retail Compensation Study)</w:t>
        <w:br/>
      </w:r>
      <w:r>
        <w:rPr>
          <w:rFonts w:ascii="Calibri" w:hAnsi="Calibri"/>
          <w:b w:val="0"/>
          <w:color w:val="1A1A1A"/>
          <w:sz w:val="21"/>
        </w:rPr>
        <w:t xml:space="preserve">    Market Range:  </w:t>
      </w:r>
      <w:r>
        <w:rPr>
          <w:rFonts w:ascii="Calibri" w:hAnsi="Calibri"/>
          <w:b/>
          <w:color w:val="C59E3C"/>
          <w:sz w:val="21"/>
        </w:rPr>
        <w:t>$225,000 – $325,000</w:t>
      </w:r>
    </w:p>
    <w:p>
      <w:pPr>
        <w:spacing w:before="60" w:after="100"/>
        <w:ind w:left="288"/>
      </w:pPr>
      <w:r>
        <w:rPr>
          <w:rFonts w:ascii="Calibri" w:hAnsi="Calibri"/>
          <w:b/>
          <w:color w:val="002B5C"/>
          <w:sz w:val="21"/>
        </w:rPr>
        <w:t xml:space="preserve">Regional Portable Storage Company CEO  </w:t>
      </w:r>
      <w:r>
        <w:rPr>
          <w:rFonts w:ascii="Calibri" w:hAnsi="Calibri"/>
          <w:i/>
          <w:color w:val="404040"/>
          <w:sz w:val="20"/>
        </w:rPr>
        <w:t>($1M–$5M revenue, industry composite)</w:t>
        <w:br/>
      </w:r>
      <w:r>
        <w:rPr>
          <w:rFonts w:ascii="Calibri" w:hAnsi="Calibri"/>
          <w:b w:val="0"/>
          <w:color w:val="1A1A1A"/>
          <w:sz w:val="21"/>
        </w:rPr>
        <w:t xml:space="preserve">    Market Range:  </w:t>
      </w:r>
      <w:r>
        <w:rPr>
          <w:rFonts w:ascii="Calibri" w:hAnsi="Calibri"/>
          <w:b/>
          <w:color w:val="C59E3C"/>
          <w:sz w:val="21"/>
        </w:rPr>
        <w:t>$175,000 – $250,000</w:t>
      </w:r>
    </w:p>
    <w:p>
      <w:pPr>
        <w:spacing w:before="60" w:after="100"/>
        <w:ind w:left="288"/>
      </w:pPr>
      <w:r>
        <w:rPr>
          <w:rFonts w:ascii="Calibri" w:hAnsi="Calibri"/>
          <w:b/>
          <w:color w:val="002B5C"/>
          <w:sz w:val="21"/>
        </w:rPr>
        <w:t xml:space="preserve">Multi-Entity LLC Managing Member  </w:t>
      </w:r>
      <w:r>
        <w:rPr>
          <w:rFonts w:ascii="Calibri" w:hAnsi="Calibri"/>
          <w:i/>
          <w:color w:val="404040"/>
          <w:sz w:val="20"/>
        </w:rPr>
        <w:t>(real estate + operations, market composite)</w:t>
        <w:br/>
      </w:r>
      <w:r>
        <w:rPr>
          <w:rFonts w:ascii="Calibri" w:hAnsi="Calibri"/>
          <w:b w:val="0"/>
          <w:color w:val="1A1A1A"/>
          <w:sz w:val="21"/>
        </w:rPr>
        <w:t xml:space="preserve">    Market Range:  </w:t>
      </w:r>
      <w:r>
        <w:rPr>
          <w:rFonts w:ascii="Calibri" w:hAnsi="Calibri"/>
          <w:b/>
          <w:color w:val="C59E3C"/>
          <w:sz w:val="21"/>
        </w:rPr>
        <w:t>$200,000 – $300,000</w:t>
      </w:r>
    </w:p>
    <w:p>
      <w:pPr>
        <w:spacing w:before="60" w:after="100"/>
        <w:ind w:left="288"/>
      </w:pPr>
      <w:r>
        <w:rPr>
          <w:rFonts w:ascii="Calibri" w:hAnsi="Calibri"/>
          <w:b/>
          <w:color w:val="002B5C"/>
          <w:sz w:val="21"/>
        </w:rPr>
        <w:t xml:space="preserve">General Manager / CEO, Private Company  </w:t>
      </w:r>
      <w:r>
        <w:rPr>
          <w:rFonts w:ascii="Calibri" w:hAnsi="Calibri"/>
          <w:i/>
          <w:color w:val="404040"/>
          <w:sz w:val="20"/>
        </w:rPr>
        <w:t>(BLS / Robert Half, comparable revenue)</w:t>
        <w:br/>
      </w:r>
      <w:r>
        <w:rPr>
          <w:rFonts w:ascii="Calibri" w:hAnsi="Calibri"/>
          <w:b w:val="0"/>
          <w:color w:val="1A1A1A"/>
          <w:sz w:val="21"/>
        </w:rPr>
        <w:t xml:space="preserve">    Market Range:  </w:t>
      </w:r>
      <w:r>
        <w:rPr>
          <w:rFonts w:ascii="Calibri" w:hAnsi="Calibri"/>
          <w:b/>
          <w:color w:val="C59E3C"/>
          <w:sz w:val="21"/>
        </w:rPr>
        <w:t>$220,000 – $280,000</w:t>
      </w:r>
    </w:p>
    <w:p>
      <w:pPr>
        <w:spacing w:before="200" w:after="160"/>
      </w:pPr>
      <w:r>
        <w:rPr>
          <w:rFonts w:ascii="Calibri" w:hAnsi="Calibri"/>
          <w:color w:val="1A1A1A"/>
          <w:sz w:val="21"/>
        </w:rPr>
        <w:t>At $175,000, my current management fee represents approximately 60–70% of the market rate for a CEO of comparable scope and complexity. The adjustment proposed below closes that gap in a measured, financially defensible way.</w:t>
      </w:r>
    </w:p>
    <w:p>
      <w:pPr>
        <w:keepNext/>
        <w:spacing w:before="280" w:after="80"/>
        <w:pBdr>
          <w:bottom w:val="single" w:sz="4" w:space="1" w:color="C59E3C"/>
        </w:pBdr>
      </w:pPr>
      <w:r>
        <w:rPr>
          <w:rFonts w:ascii="Calibri" w:hAnsi="Calibri"/>
          <w:b/>
          <w:color w:val="002B5C"/>
          <w:sz w:val="24"/>
        </w:rPr>
        <w:t>V.  PROPOSED COMPENSATION STRUCTURE</w:t>
      </w:r>
    </w:p>
    <w:p>
      <w:pPr>
        <w:spacing w:before="0" w:after="160"/>
      </w:pPr>
      <w:r>
        <w:rPr>
          <w:rFonts w:ascii="Calibri" w:hAnsi="Calibri"/>
          <w:color w:val="1A1A1A"/>
          <w:sz w:val="21"/>
        </w:rPr>
        <w:t>The following structure is proposed, effective upon formalization:</w:t>
      </w:r>
    </w:p>
    <w:p>
      <w:pPr>
        <w:pStyle w:val="ListBullet"/>
        <w:spacing w:before="40" w:after="120"/>
        <w:ind w:left="504"/>
      </w:pPr>
      <w:r>
        <w:rPr>
          <w:rFonts w:ascii="Calibri" w:hAnsi="Calibri"/>
          <w:b/>
          <w:color w:val="002B5C"/>
          <w:sz w:val="21"/>
        </w:rPr>
        <w:t>Year 1 — $225,000 W-2 Salary:</w:t>
      </w:r>
      <w:r>
        <w:rPr>
          <w:rFonts w:ascii="Calibri" w:hAnsi="Calibri"/>
          <w:color w:val="1A1A1A"/>
          <w:sz w:val="21"/>
        </w:rPr>
        <w:t xml:space="preserve"> Managing Member compensation, replacing the current management fee structure. This reflects the lower bound of market rate and remains well within the financial capacity of the business.</w:t>
      </w:r>
    </w:p>
    <w:p>
      <w:pPr>
        <w:pStyle w:val="ListBullet"/>
        <w:spacing w:before="40" w:after="120"/>
        <w:ind w:left="504"/>
      </w:pPr>
      <w:r>
        <w:rPr>
          <w:rFonts w:ascii="Calibri" w:hAnsi="Calibri"/>
          <w:b/>
          <w:color w:val="002B5C"/>
          <w:sz w:val="21"/>
        </w:rPr>
        <w:t>Year 2 Target — $250,000+:</w:t>
      </w:r>
      <w:r>
        <w:rPr>
          <w:rFonts w:ascii="Calibri" w:hAnsi="Calibri"/>
          <w:color w:val="1A1A1A"/>
          <w:sz w:val="21"/>
        </w:rPr>
        <w:t xml:space="preserve"> Subject to performance benchmarks, including Surfbox revenue milestones and TLC operating margin targets.</w:t>
      </w:r>
    </w:p>
    <w:p>
      <w:pPr>
        <w:pStyle w:val="ListBullet"/>
        <w:spacing w:before="40" w:after="120"/>
        <w:ind w:left="504"/>
      </w:pPr>
      <w:r>
        <w:rPr>
          <w:rFonts w:ascii="Calibri" w:hAnsi="Calibri"/>
          <w:b/>
          <w:color w:val="002B5C"/>
          <w:sz w:val="21"/>
        </w:rPr>
        <w:t>Annual Performance Bonus:</w:t>
      </w:r>
      <w:r>
        <w:rPr>
          <w:rFonts w:ascii="Calibri" w:hAnsi="Calibri"/>
          <w:color w:val="1A1A1A"/>
          <w:sz w:val="21"/>
        </w:rPr>
        <w:t xml:space="preserve"> Discretionary bonus tied to Surfbox growth milestones and TLC II LLC margin performance. Structure and triggers to be defined collaboratively.</w:t>
      </w:r>
    </w:p>
    <w:p>
      <w:pPr>
        <w:pStyle w:val="ListBullet"/>
        <w:spacing w:before="40" w:after="120"/>
        <w:ind w:left="504"/>
      </w:pPr>
      <w:r>
        <w:rPr>
          <w:rFonts w:ascii="Calibri" w:hAnsi="Calibri"/>
          <w:b/>
          <w:color w:val="002B5C"/>
          <w:sz w:val="21"/>
        </w:rPr>
        <w:t>W-2 Structure — Retirement Benefit:</w:t>
      </w:r>
      <w:r>
        <w:rPr>
          <w:rFonts w:ascii="Calibri" w:hAnsi="Calibri"/>
          <w:color w:val="1A1A1A"/>
          <w:sz w:val="21"/>
        </w:rPr>
        <w:t xml:space="preserve"> Converting from a management fee to W-2 compensation unlocks meaningful retirement plan contributions — including a Solo 401(k) or Defined Benefit Plan — generating significant tax efficiency and long-term wealth building for the entity and its Managing Member. Estimated annual retirement contribution capacity: $62,000+.</w:t>
      </w:r>
    </w:p>
    <w:p>
      <w:pPr>
        <w:keepNext/>
        <w:spacing w:before="280" w:after="80"/>
        <w:pBdr>
          <w:bottom w:val="single" w:sz="4" w:space="1" w:color="C59E3C"/>
        </w:pBdr>
      </w:pPr>
      <w:r>
        <w:rPr>
          <w:rFonts w:ascii="Calibri" w:hAnsi="Calibri"/>
          <w:b/>
          <w:color w:val="002B5C"/>
          <w:sz w:val="24"/>
        </w:rPr>
        <w:t>VI.  CONCLUSION</w:t>
      </w:r>
    </w:p>
    <w:p>
      <w:pPr>
        <w:spacing w:before="0" w:after="160"/>
      </w:pPr>
      <w:r>
        <w:rPr>
          <w:rFonts w:ascii="Calibri" w:hAnsi="Calibri"/>
          <w:color w:val="1A1A1A"/>
          <w:sz w:val="21"/>
        </w:rPr>
        <w:t>The adjustment proposed in this memorandum is modest relative to market, financially supportable by the business at its current performance level, and an appropriate recognition of the value created through four years of active stewardship.</w:t>
      </w:r>
    </w:p>
    <w:p>
      <w:pPr>
        <w:spacing w:before="0" w:after="400"/>
      </w:pPr>
      <w:r>
        <w:rPr>
          <w:rFonts w:ascii="Calibri" w:hAnsi="Calibri"/>
          <w:color w:val="1A1A1A"/>
          <w:sz w:val="21"/>
        </w:rPr>
        <w:t>This memo is intended to provide the documentation necessary to formalize the compensation structure going forward, and to support any related planning work on the retirement and tax strategy side.</w:t>
      </w:r>
    </w:p>
    <w:p>
      <w:pPr>
        <w:spacing w:before="200" w:after="80"/>
      </w:pPr>
      <w:r>
        <w:rPr>
          <w:rFonts w:ascii="Calibri" w:hAnsi="Calibri"/>
          <w:color w:val="1A1A1A"/>
          <w:sz w:val="21"/>
        </w:rPr>
        <w:t>Respectfully submitted,</w:t>
      </w:r>
    </w:p>
    <w:p>
      <w:pPr>
        <w:spacing w:before="320" w:after="40"/>
      </w:pPr>
      <w:r>
        <w:rPr>
          <w:rFonts w:ascii="Calibri" w:hAnsi="Calibri"/>
          <w:b/>
          <w:color w:val="002B5C"/>
          <w:sz w:val="24"/>
        </w:rPr>
        <w:t>Joseph Lynch</w:t>
      </w:r>
    </w:p>
    <w:p>
      <w:pPr>
        <w:spacing w:before="0" w:after="40"/>
      </w:pPr>
      <w:r>
        <w:rPr>
          <w:rFonts w:ascii="Calibri" w:hAnsi="Calibri"/>
          <w:color w:val="1A1A1A"/>
          <w:sz w:val="21"/>
        </w:rPr>
        <w:t>Managing Member, TLC II LLC</w:t>
      </w:r>
    </w:p>
    <w:p>
      <w:pPr>
        <w:spacing w:before="0" w:after="40"/>
      </w:pPr>
      <w:r>
        <w:rPr>
          <w:rFonts w:ascii="Calibri" w:hAnsi="Calibri"/>
          <w:i/>
          <w:color w:val="404040"/>
          <w:sz w:val="20"/>
        </w:rPr>
        <w:t>Tuckerton Lumber Company  |  Surfbox Portable Storage</w:t>
      </w:r>
    </w:p>
    <w:sectPr w:rsidR="00FC693F" w:rsidRPr="0006063C" w:rsidSect="00034616">
      <w:footerReference w:type="default" r:id="rId9"/>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404040"/>
        <w:sz w:val="18"/>
      </w:rPr>
      <w:fldChar w:fldCharType="begin"/>
      <w:instrText>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