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/>
          <w:b/>
          <w:color w:val="1F3564"/>
          <w:sz w:val="32"/>
        </w:rPr>
        <w:t>MEMORANDUM</w:t>
      </w:r>
    </w:p>
    <w:p>
      <w:pPr>
        <w:spacing w:before="0" w:after="280"/>
        <w:jc w:val="center"/>
      </w:pPr>
      <w:r>
        <w:rPr>
          <w:rFonts w:ascii="Calibri" w:hAnsi="Calibri"/>
          <w:i/>
          <w:color w:val="1F3564"/>
          <w:sz w:val="24"/>
        </w:rPr>
        <w:t>Historic Tax Credit Opportunity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296"/>
            <w:shd w:val="clear" w:color="auto" w:fill="E8EDF5"/>
          </w:tcPr>
          <w:p>
            <w:r>
              <w:rPr>
                <w:rFonts w:ascii="Calibri" w:hAnsi="Calibri"/>
                <w:b/>
                <w:color w:val="1F3564"/>
                <w:sz w:val="22"/>
              </w:rPr>
              <w:t>TO: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sz w:val="22"/>
              </w:rPr>
              <w:t>Robert MacArthur, CPA</w:t>
            </w:r>
          </w:p>
        </w:tc>
      </w:tr>
      <w:tr>
        <w:tc>
          <w:tcPr>
            <w:tcW w:type="dxa" w:w="1296"/>
            <w:shd w:val="clear" w:color="auto" w:fill="E8EDF5"/>
          </w:tcPr>
          <w:p>
            <w:r>
              <w:rPr>
                <w:rFonts w:ascii="Calibri" w:hAnsi="Calibri"/>
                <w:b/>
                <w:color w:val="1F3564"/>
                <w:sz w:val="22"/>
              </w:rPr>
              <w:t>FROM: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sz w:val="22"/>
              </w:rPr>
              <w:t>Joe Lynch, Managing Member — Old School Firehouse LLC</w:t>
            </w:r>
          </w:p>
        </w:tc>
      </w:tr>
      <w:tr>
        <w:tc>
          <w:tcPr>
            <w:tcW w:type="dxa" w:w="1296"/>
            <w:shd w:val="clear" w:color="auto" w:fill="E8EDF5"/>
          </w:tcPr>
          <w:p>
            <w:r>
              <w:rPr>
                <w:rFonts w:ascii="Calibri" w:hAnsi="Calibri"/>
                <w:b/>
                <w:color w:val="1F3564"/>
                <w:sz w:val="22"/>
              </w:rPr>
              <w:t>RE: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/>
                <w:sz w:val="22"/>
              </w:rPr>
              <w:t>Historic Tax Credit Opportunity — 18 New Street, Crosswicks, NJ 08515</w:t>
            </w:r>
          </w:p>
        </w:tc>
      </w:tr>
      <w:tr>
        <w:tc>
          <w:tcPr>
            <w:tcW w:type="dxa" w:w="1296"/>
            <w:shd w:val="clear" w:color="auto" w:fill="E8EDF5"/>
          </w:tcPr>
          <w:p>
            <w:r>
              <w:rPr>
                <w:rFonts w:ascii="Calibri" w:hAnsi="Calibri"/>
                <w:b/>
                <w:color w:val="1F3564"/>
                <w:sz w:val="22"/>
              </w:rPr>
              <w:t>DATE: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sz w:val="22"/>
              </w:rPr>
              <w:t>April 7, 2026</w:t>
            </w:r>
          </w:p>
        </w:tc>
      </w:tr>
    </w:tbl>
    <w:p/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1: THE PROPERTY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Address: </w:t>
      </w:r>
      <w:r>
        <w:rPr>
          <w:rFonts w:ascii="Calibri" w:hAnsi="Calibri"/>
          <w:b w:val="0"/>
          <w:i w:val="0"/>
          <w:sz w:val="22"/>
        </w:rPr>
        <w:t>18 New Street, Crosswicks, NJ 08515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Owner: </w:t>
      </w:r>
      <w:r>
        <w:rPr>
          <w:rFonts w:ascii="Calibri" w:hAnsi="Calibri"/>
          <w:b w:val="0"/>
          <w:i w:val="0"/>
          <w:sz w:val="22"/>
        </w:rPr>
        <w:t>Old School Firehouse LLC (Joe Lynch, Managing Member)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Parcel: </w:t>
      </w:r>
      <w:r>
        <w:rPr>
          <w:rFonts w:ascii="Calibri" w:hAnsi="Calibri"/>
          <w:b w:val="0"/>
          <w:i w:val="0"/>
          <w:sz w:val="22"/>
        </w:rPr>
        <w:t>Block 300, Lot 12, Chesterfield Township, Burlington County, NJ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Structure: </w:t>
      </w:r>
      <w:r>
        <w:rPr>
          <w:rFonts w:ascii="Calibri" w:hAnsi="Calibri"/>
          <w:b w:val="0"/>
          <w:i w:val="0"/>
          <w:sz w:val="22"/>
        </w:rPr>
        <w:t>Former firehouse and schoolhouse — solid brick construction, two full levels + basement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Size: </w:t>
      </w:r>
      <w:r>
        <w:rPr>
          <w:rFonts w:ascii="Calibri" w:hAnsi="Calibri"/>
          <w:b w:val="0"/>
          <w:i w:val="0"/>
          <w:sz w:val="22"/>
        </w:rPr>
        <w:t>Approximately 4,000+ square feet with HIGH CEILINGS on both levels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Historic Status: </w:t>
      </w:r>
      <w:r>
        <w:rPr>
          <w:rFonts w:ascii="Calibri" w:hAnsi="Calibri"/>
          <w:b w:val="0"/>
          <w:i w:val="0"/>
          <w:sz w:val="22"/>
        </w:rPr>
        <w:t>Property is listed on the NATIONAL REGISTER OF HISTORIC PLACES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Redevelopment: </w:t>
      </w:r>
      <w:r>
        <w:rPr>
          <w:rFonts w:ascii="Calibri" w:hAnsi="Calibri"/>
          <w:b w:val="0"/>
          <w:i w:val="0"/>
          <w:sz w:val="22"/>
        </w:rPr>
        <w:t>n a NJ Redevelopment Plan area (non-condemnation designation)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Investment: </w:t>
      </w:r>
      <w:r>
        <w:rPr>
          <w:rFonts w:ascii="Calibri" w:hAnsi="Calibri"/>
          <w:b w:val="0"/>
          <w:i w:val="0"/>
          <w:sz w:val="22"/>
        </w:rPr>
        <w:t>o Date: Approximately $550,000 (acquisition + approvals + some renovation)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2: FEDERAL HISTORIC TAX CREDIT (HTC)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IRC Section 47: </w:t>
      </w:r>
      <w:r>
        <w:rPr>
          <w:rFonts w:ascii="Calibri" w:hAnsi="Calibri"/>
          <w:b w:val="0"/>
          <w:i w:val="0"/>
          <w:sz w:val="22"/>
        </w:rPr>
        <w:t>The Federal Historic Preservation Tax Credit (IRC Section 47) provides a 20% FEDERAL TAX CREDIT for certified rehabilitation of certified historic structures.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Qualification: </w:t>
      </w:r>
      <w:r>
        <w:rPr>
          <w:rFonts w:ascii="Calibri" w:hAnsi="Calibri"/>
          <w:b w:val="0"/>
          <w:i w:val="0"/>
          <w:sz w:val="22"/>
        </w:rPr>
        <w:t>A "certified historic structure" is a building listed individually on the National Register of Historic Places OR in a registered historic district. The Old School Firehouse qualifies by virtue of its National Register listing.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Credit Rate: </w:t>
      </w:r>
      <w:r>
        <w:rPr>
          <w:rFonts w:ascii="Calibri" w:hAnsi="Calibri"/>
          <w:b w:val="0"/>
          <w:i w:val="0"/>
          <w:sz w:val="22"/>
        </w:rPr>
        <w:t>The credit equals 20% of Qualified Rehabilitation Expenditures (QREs) — costs for renovation work that meets the Secretary of the Interior's Standards.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Example: </w:t>
      </w:r>
      <w:r>
        <w:rPr>
          <w:rFonts w:ascii="Calibri" w:hAnsi="Calibri"/>
          <w:b w:val="0"/>
          <w:i w:val="0"/>
          <w:sz w:val="22"/>
        </w:rPr>
        <w:t>If renovation costs $500,000 in QREs, the federal credit = $100,000 — a dollar-for-dollar reduction in federal tax liability (not a deduction).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Timing: </w:t>
      </w:r>
      <w:r>
        <w:rPr>
          <w:rFonts w:ascii="Calibri" w:hAnsi="Calibri"/>
          <w:b w:val="0"/>
          <w:i w:val="0"/>
          <w:sz w:val="22"/>
        </w:rPr>
        <w:t>Credits can be used in the year the rehabilitated building is placed in service.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Carryover: </w:t>
      </w:r>
      <w:r>
        <w:rPr>
          <w:rFonts w:ascii="Calibri" w:hAnsi="Calibri"/>
          <w:b w:val="0"/>
          <w:i w:val="0"/>
          <w:sz w:val="22"/>
        </w:rPr>
        <w:t>Unused credits can be carried back 1 year and forward 20 years.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3: NJ STATE HISTORIC PRESERVATION TAX CREDIT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NJ Statute: </w:t>
      </w:r>
      <w:r>
        <w:rPr>
          <w:rFonts w:ascii="Calibri" w:hAnsi="Calibri"/>
          <w:b w:val="0"/>
          <w:i w:val="0"/>
          <w:sz w:val="22"/>
        </w:rPr>
        <w:t>New Jersey offers a state Historic Property Reinvestment Act tax credit (N.J.S.A. 54:10A-5.42).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Credit Rate: </w:t>
      </w:r>
      <w:r>
        <w:rPr>
          <w:rFonts w:ascii="Calibri" w:hAnsi="Calibri"/>
          <w:b w:val="0"/>
          <w:i w:val="0"/>
          <w:sz w:val="22"/>
        </w:rPr>
        <w:t>NJ state credit: up to 40% of QREs for qualified historic structures (commercial/income-producing).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Combined Credit: </w:t>
      </w:r>
      <w:r>
        <w:rPr>
          <w:rFonts w:ascii="Calibri" w:hAnsi="Calibri"/>
          <w:b w:val="0"/>
          <w:i w:val="0"/>
          <w:sz w:val="22"/>
        </w:rPr>
        <w:t>Combined federal + state: potentially 60% of rehabilitation costs covered by tax credits.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Certification: </w:t>
      </w:r>
      <w:r>
        <w:rPr>
          <w:rFonts w:ascii="Calibri" w:hAnsi="Calibri"/>
          <w:b w:val="0"/>
          <w:i w:val="0"/>
          <w:sz w:val="22"/>
        </w:rPr>
        <w:t>NJ program requires State Historic Preservation Office (SHPO) certification.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Transferability: </w:t>
      </w:r>
      <w:r>
        <w:rPr>
          <w:rFonts w:ascii="Calibri" w:hAnsi="Calibri"/>
          <w:b w:val="0"/>
          <w:i w:val="0"/>
          <w:sz w:val="22"/>
        </w:rPr>
        <w:t>Credits are transferable in NJ — meaning they can be sold to investors who can use them, even if the developer lacks sufficient tax liability.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4: IMPORTANT REQUIREMENTS AND CONSIDERATIONS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Income-Producing Requirement: </w:t>
      </w:r>
      <w:r>
        <w:rPr>
          <w:rFonts w:ascii="Calibri" w:hAnsi="Calibri"/>
          <w:b w:val="0"/>
          <w:i w:val="0"/>
          <w:sz w:val="22"/>
        </w:rPr>
        <w:t>The property must be income-producing to qualify for the federal credit — it cannot be used as a personal residence. This is a critical planning consideration.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Single-Family Scenario: </w:t>
      </w:r>
      <w:r>
        <w:rPr>
          <w:rFonts w:ascii="Calibri" w:hAnsi="Calibri"/>
          <w:b w:val="0"/>
          <w:i w:val="0"/>
          <w:sz w:val="22"/>
        </w:rPr>
        <w:t>If converted to a single-family luxury residence (current plan option), the FEDERAL credit does NOT apply. The property must be rental, commercial, or mixed-use.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Multi-Unit Scenario: </w:t>
      </w:r>
      <w:r>
        <w:rPr>
          <w:rFonts w:ascii="Calibri" w:hAnsi="Calibri"/>
          <w:b w:val="0"/>
          <w:i w:val="0"/>
          <w:sz w:val="22"/>
        </w:rPr>
        <w:t>If converted to 4 residential units (the approved development plan), credits likely DO apply to common areas and commercial portions.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Secretary of Interior's Standards: </w:t>
      </w:r>
      <w:r>
        <w:rPr>
          <w:rFonts w:ascii="Calibri" w:hAnsi="Calibri"/>
          <w:b w:val="0"/>
          <w:i w:val="0"/>
          <w:sz w:val="22"/>
        </w:rPr>
        <w:t>The rehabilitation must meet the Secretary of the Interior's Standards for Rehabilitation — basic historic character must be preserved.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Pre-Approval Required: </w:t>
      </w:r>
      <w:r>
        <w:rPr>
          <w:rFonts w:ascii="Calibri" w:hAnsi="Calibri"/>
          <w:b w:val="0"/>
          <w:i w:val="0"/>
          <w:sz w:val="22"/>
        </w:rPr>
        <w:t>SHPO (NJ State Historic Preservation Office) and National Park Service pre-approval must be obtained before starting any qualified work.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QRE Scope: </w:t>
      </w:r>
      <w:r>
        <w:rPr>
          <w:rFonts w:ascii="Calibri" w:hAnsi="Calibri"/>
          <w:b w:val="0"/>
          <w:i w:val="0"/>
          <w:sz w:val="22"/>
        </w:rPr>
        <w:t>QREs generally include structural, mechanical, electrical, and plumbing work — but NOT acquisition cost or work on non-historic additions.</w:t>
      </w:r>
    </w:p>
    <w:p>
      <w:pPr>
        <w:pStyle w:val="ListBullet"/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Tax Credit Investor Partnerships: </w:t>
      </w:r>
      <w:r>
        <w:rPr>
          <w:rFonts w:ascii="Calibri" w:hAnsi="Calibri"/>
          <w:b w:val="0"/>
          <w:i w:val="0"/>
          <w:sz w:val="22"/>
        </w:rPr>
        <w:t>Developers often bring in tax credit investors who fund renovation in exchange for the credits, partially financing the project through the credit value.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5: POTENTIAL TAX CREDIT VALUE (PRELIMINARY ESTIMATE)</w:t>
      </w:r>
    </w:p>
    <w:p>
      <w:pPr>
        <w:spacing w:before="80" w:after="120"/>
      </w:pPr>
      <w:r>
        <w:rPr>
          <w:rFonts w:ascii="Calibri" w:hAnsi="Calibri"/>
          <w:b w:val="0"/>
          <w:i w:val="0"/>
          <w:sz w:val="22"/>
        </w:rPr>
        <w:t>The following table illustrates potential credit value at various QRE levels. Federal credit = 20% of QREs; NJ credit = 40% of QREs.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F3564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Qualified Rehabilitation Expenditures</w:t>
            </w:r>
          </w:p>
        </w:tc>
        <w:tc>
          <w:tcPr>
            <w:tcW w:type="dxa" w:w="2160"/>
            <w:shd w:val="clear" w:color="auto" w:fill="1F3564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Federal Credit (20%)</w:t>
            </w:r>
          </w:p>
        </w:tc>
        <w:tc>
          <w:tcPr>
            <w:tcW w:type="dxa" w:w="2160"/>
            <w:shd w:val="clear" w:color="auto" w:fill="1F3564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NJ State Credit (40%)</w:t>
            </w:r>
          </w:p>
        </w:tc>
        <w:tc>
          <w:tcPr>
            <w:tcW w:type="dxa" w:w="2160"/>
            <w:shd w:val="clear" w:color="auto" w:fill="1F3564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Total Credits</w:t>
            </w:r>
          </w:p>
        </w:tc>
      </w:tr>
      <w:tr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$300,000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$60,000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$120,000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b/>
                <w:color w:val="1F3564"/>
                <w:sz w:val="22"/>
              </w:rPr>
              <w:t>$180,000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$500,000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$100,000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$200,000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b/>
                <w:color w:val="1F3564"/>
                <w:sz w:val="22"/>
              </w:rPr>
              <w:t>$300,000</w:t>
            </w:r>
          </w:p>
        </w:tc>
      </w:tr>
      <w:tr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$750,000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$150,000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$300,000</w:t>
            </w:r>
          </w:p>
        </w:tc>
        <w:tc>
          <w:tcPr>
            <w:tcW w:type="dxa" w:w="2160"/>
            <w:shd w:val="clear" w:color="auto" w:fill="F2F5FA"/>
          </w:tcPr>
          <w:p>
            <w:pPr>
              <w:jc w:val="center"/>
            </w:pPr>
            <w:r>
              <w:rPr>
                <w:rFonts w:ascii="Calibri" w:hAnsi="Calibri"/>
                <w:b/>
                <w:color w:val="1F3564"/>
                <w:sz w:val="22"/>
              </w:rPr>
              <w:t>$450,000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spacing w:before="120" w:after="80"/>
      </w:pPr>
      <w:r>
        <w:rPr>
          <w:rFonts w:ascii="Calibri" w:hAnsi="Calibri"/>
          <w:b w:val="0"/>
          <w:i/>
          <w:color w:val="606060"/>
          <w:sz w:val="20"/>
        </w:rPr>
        <w:t>Note: These are preliminary estimates. Actual QREs must be certified by the NPS/SHPO. Not all renovation costs qualify as QREs. Consult with a historic preservation specialist for a formal QRE assessment.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6: QUESTIONS FOR ROBERT MACARTHUR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1. </w:t>
      </w:r>
      <w:r>
        <w:rPr>
          <w:rFonts w:ascii="Calibri" w:hAnsi="Calibri"/>
          <w:b w:val="0"/>
          <w:i w:val="0"/>
          <w:sz w:val="22"/>
        </w:rPr>
        <w:t>Does the income-producing requirement create a planning issue given Joe's current intent to use this as a personal residence? Are there hybrid approaches (e.g., short-term rental income, ADU) that could preserve credit eligibility while meeting personal use goals?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2. </w:t>
      </w:r>
      <w:r>
        <w:rPr>
          <w:rFonts w:ascii="Calibri" w:hAnsi="Calibri"/>
          <w:b w:val="0"/>
          <w:i w:val="0"/>
          <w:sz w:val="22"/>
        </w:rPr>
        <w:t>Can the tax credits be carried forward or transferred if the renovation is completed before Joe has sufficient tax liability to absorb them?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3. </w:t>
      </w:r>
      <w:r>
        <w:rPr>
          <w:rFonts w:ascii="Calibri" w:hAnsi="Calibri"/>
          <w:b w:val="0"/>
          <w:i w:val="0"/>
          <w:sz w:val="22"/>
        </w:rPr>
        <w:t>Are there any AMT (Alternative Minimum Tax) implications associated with the federal Historic Tax Credit?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4. </w:t>
      </w:r>
      <w:r>
        <w:rPr>
          <w:rFonts w:ascii="Calibri" w:hAnsi="Calibri"/>
          <w:b w:val="0"/>
          <w:i w:val="0"/>
          <w:sz w:val="22"/>
        </w:rPr>
        <w:t>Should Old School Firehouse LLC remain the holding entity, or would a different structure (e.g., a pass-through to individuals with higher tax liability) optimize credit utilization?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5. </w:t>
      </w:r>
      <w:r>
        <w:rPr>
          <w:rFonts w:ascii="Calibri" w:hAnsi="Calibri"/>
          <w:b w:val="0"/>
          <w:i w:val="0"/>
          <w:sz w:val="22"/>
        </w:rPr>
        <w:t>What is the process and timeline for obtaining SHPO approval? Should Joe engage a historic preservation consultant early in the process?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6. </w:t>
      </w:r>
      <w:r>
        <w:rPr>
          <w:rFonts w:ascii="Calibri" w:hAnsi="Calibri"/>
          <w:b w:val="0"/>
          <w:i w:val="0"/>
          <w:sz w:val="22"/>
        </w:rPr>
        <w:t>Is a tax credit investor/partnership structure worth exploring if the combined credit value approaches or exceeds $300,000?</w:t>
      </w:r>
    </w:p>
    <w:p>
      <w:pPr>
        <w:spacing w:before="280" w:after="80"/>
        <w:pBdr>
          <w:bottom w:val="single" w:sz="6" w:space="1" w:color="1F3564"/>
        </w:pBdr>
      </w:pPr>
      <w:r>
        <w:rPr>
          <w:rFonts w:ascii="Calibri" w:hAnsi="Calibri"/>
          <w:b/>
          <w:color w:val="1F3564"/>
          <w:sz w:val="26"/>
        </w:rPr>
        <w:t>SECTION 7: RECOMMENDED NEXT STEPS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1. </w:t>
      </w:r>
      <w:r>
        <w:rPr>
          <w:rFonts w:ascii="Calibri" w:hAnsi="Calibri"/>
          <w:b w:val="0"/>
          <w:i w:val="0"/>
          <w:sz w:val="22"/>
        </w:rPr>
        <w:t>Confirm with SHPO that the property qualifies and inquire about the pre-certification process.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2. </w:t>
      </w:r>
      <w:r>
        <w:rPr>
          <w:rFonts w:ascii="Calibri" w:hAnsi="Calibri"/>
          <w:b w:val="0"/>
          <w:i w:val="0"/>
          <w:sz w:val="22"/>
        </w:rPr>
        <w:t>Engage a historic preservation architect or consultant to assess which planned renovation costs would qualify as QREs.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3. </w:t>
      </w:r>
      <w:r>
        <w:rPr>
          <w:rFonts w:ascii="Calibri" w:hAnsi="Calibri"/>
          <w:b w:val="0"/>
          <w:i w:val="0"/>
          <w:sz w:val="22"/>
        </w:rPr>
        <w:t>Obtain a preliminary estimate of total QREs based on current renovation plans and scope.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4. </w:t>
      </w:r>
      <w:r>
        <w:rPr>
          <w:rFonts w:ascii="Calibri" w:hAnsi="Calibri"/>
          <w:b w:val="0"/>
          <w:i w:val="0"/>
          <w:sz w:val="22"/>
        </w:rPr>
        <w:t>Review entity structure with Robert to optimize credit utilization and ensure the property is positioned as income-producing.</w:t>
      </w:r>
    </w:p>
    <w:p>
      <w:pPr>
        <w:spacing w:before="60" w:after="60"/>
        <w:ind w:left="360"/>
      </w:pPr>
      <w:r>
        <w:rPr>
          <w:rFonts w:ascii="Calibri" w:hAnsi="Calibri"/>
          <w:b/>
          <w:i w:val="0"/>
          <w:color w:val="1F3564"/>
          <w:sz w:val="22"/>
        </w:rPr>
        <w:t xml:space="preserve">5. </w:t>
      </w:r>
      <w:r>
        <w:rPr>
          <w:rFonts w:ascii="Calibri" w:hAnsi="Calibri"/>
          <w:b w:val="0"/>
          <w:i w:val="0"/>
          <w:sz w:val="22"/>
        </w:rPr>
        <w:t>If renovation budget exceeds $300,000 in QREs, seriously evaluate a tax credit investor partnership to monetize the credits.</w:t>
      </w:r>
    </w:p>
    <w:p/>
    <w:p>
      <w:pPr>
        <w:spacing w:before="160" w:after="160"/>
        <w:pBdr>
          <w:left w:val="single" w:sz="12" w:space="4" w:color="1F3564"/>
        </w:pBdr>
        <w:ind w:left="360"/>
      </w:pPr>
      <w:r>
        <w:rPr>
          <w:rFonts w:ascii="Calibri" w:hAnsi="Calibri"/>
          <w:b w:val="0"/>
          <w:i/>
          <w:sz w:val="22"/>
        </w:rPr>
        <w:t>Robert, given the scale of our planned renovation and the National Register listing, I believe the historic tax credit program warrants serious exploration before we finalize our renovation approach. The credits could materially reduce our out-of-pocket costs and potentially attract outside capital. I would appreciate your guidance on the planning considerations and whether the income-producing requirement creates any obstacles we need to structure around.</w:t>
      </w:r>
    </w:p>
    <w:p/>
    <w:p>
      <w:pPr>
        <w:spacing w:before="240" w:after="40"/>
      </w:pPr>
      <w:r>
        <w:rPr>
          <w:rFonts w:ascii="Calibri" w:hAnsi="Calibri"/>
          <w:b/>
          <w:i w:val="0"/>
          <w:color w:val="1F3564"/>
          <w:sz w:val="24"/>
        </w:rPr>
        <w:t>Joe Lynch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Managing Member, Old School Firehouse LLC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1F3564"/>
          <w:sz w:val="22"/>
        </w:rPr>
        <w:t>jlynch@tlcnj.com</w:t>
      </w:r>
    </w:p>
    <w:p>
      <w:pPr>
        <w:spacing w:before="0" w:after="40"/>
      </w:pPr>
      <w:r>
        <w:rPr>
          <w:rFonts w:ascii="Calibri" w:hAnsi="Calibri"/>
          <w:b w:val="0"/>
          <w:i/>
          <w:color w:val="606060"/>
          <w:sz w:val="22"/>
        </w:rPr>
        <w:t>April 7,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