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jc w:val="left"/>
      </w:pPr>
      <w:r>
        <w:rPr>
          <w:rFonts w:ascii="Arial" w:cs="Arial" w:eastAsia="Arial" w:hAnsi="Arial"/>
          <w:b w:val="false"/>
          <w:bCs w:val="false"/>
          <w:i w:val="false"/>
          <w:iCs w:val="false"/>
          <w:color w:val="111111"/>
          <w:sz w:val="20"/>
          <w:szCs w:val="20"/>
        </w:rPr>
        <w:t xml:space="preserve"/>
      </w:r>
    </w:p>
    <w:p>
      <w:pPr>
        <w:spacing w:after="80"/>
        <w:jc w:val="center"/>
      </w:pPr>
      <w:r>
        <w:rPr>
          <w:rFonts w:ascii="Arial" w:cs="Arial" w:eastAsia="Arial" w:hAnsi="Arial"/>
          <w:b/>
          <w:bCs/>
          <w:color w:val="1B3A6B"/>
          <w:sz w:val="72"/>
          <w:szCs w:val="72"/>
        </w:rPr>
        <w:t xml:space="preserve">THE GOODWILL FUND</w:t>
      </w:r>
    </w:p>
    <w:p>
      <w:pPr>
        <w:spacing w:after="80"/>
        <w:jc w:val="center"/>
      </w:pPr>
      <w:r>
        <w:rPr>
          <w:rFonts w:ascii="Arial" w:cs="Arial" w:eastAsia="Arial" w:hAnsi="Arial"/>
          <w:b w:val="false"/>
          <w:bCs w:val="false"/>
          <w:color w:val="0D6E7A"/>
          <w:sz w:val="40"/>
          <w:szCs w:val="40"/>
        </w:rPr>
        <w:t xml:space="preserve">Master Investment Compendium</w:t>
      </w:r>
    </w:p>
    <w:p>
      <w:pPr>
        <w:pBdr>
          <w:bottom w:val="single" w:color="D4A017" w:sz="6" w:space="1"/>
        </w:pBdr>
        <w:spacing w:before="120" w:after="120"/>
      </w:pPr>
    </w:p>
    <w:p>
      <w:pPr>
        <w:spacing w:after="80"/>
        <w:jc w:val="left"/>
      </w:pPr>
      <w:r>
        <w:rPr>
          <w:rFonts w:ascii="Arial" w:cs="Arial" w:eastAsia="Arial" w:hAnsi="Arial"/>
          <w:b w:val="false"/>
          <w:bCs w:val="false"/>
          <w:i w:val="false"/>
          <w:iCs w:val="false"/>
          <w:color w:val="111111"/>
          <w:sz w:val="20"/>
          <w:szCs w:val="20"/>
        </w:rPr>
        <w:t xml:space="preserve"/>
      </w:r>
    </w:p>
    <w:p>
      <w:pPr>
        <w:spacing w:after="60"/>
        <w:jc w:val="center"/>
      </w:pPr>
      <w:r>
        <w:rPr>
          <w:rFonts w:ascii="Arial" w:cs="Arial" w:eastAsia="Arial" w:hAnsi="Arial"/>
          <w:b/>
          <w:bCs/>
          <w:color w:val="111111"/>
          <w:sz w:val="24"/>
          <w:szCs w:val="24"/>
        </w:rPr>
        <w:t xml:space="preserve">15-Stock 100% Conviction Portfolio  +  2-Stock 80% Conviction Watchlist</w:t>
      </w:r>
    </w:p>
    <w:p>
      <w:pPr>
        <w:spacing w:after="200"/>
        <w:jc w:val="center"/>
      </w:pPr>
      <w:r>
        <w:rPr>
          <w:rFonts w:ascii="Arial" w:cs="Arial" w:eastAsia="Arial" w:hAnsi="Arial"/>
          <w:b w:val="false"/>
          <w:bCs w:val="false"/>
          <w:color w:val="D0D5DD"/>
          <w:sz w:val="20"/>
          <w:szCs w:val="20"/>
        </w:rPr>
        <w:t xml:space="preserve">Discounted Cash Flow Analysis  |  EPS Growth  |  Debt Profile  |  ROIC  |  Bear/Base/Bull Scenarios</w:t>
      </w:r>
    </w:p>
    <w:p>
      <w:pPr>
        <w:spacing w:after="200"/>
        <w:jc w:val="left"/>
      </w:pPr>
      <w:r>
        <w:rPr>
          <w:rFonts w:ascii="Arial" w:cs="Arial" w:eastAsia="Arial" w:hAnsi="Arial"/>
          <w:b w:val="false"/>
          <w:bCs w:val="false"/>
          <w:i w:val="false"/>
          <w:iCs w:val="false"/>
          <w:color w:val="111111"/>
          <w:sz w:val="20"/>
          <w:szCs w:val="20"/>
        </w:rPr>
        <w:t xml:space="preserve"/>
      </w:r>
    </w:p>
    <w:p>
      <w:pPr>
        <w:spacing w:after="60"/>
        <w:jc w:val="center"/>
      </w:pPr>
      <w:r>
        <w:rPr>
          <w:rFonts w:ascii="Arial" w:cs="Arial" w:eastAsia="Arial" w:hAnsi="Arial"/>
          <w:b/>
          <w:bCs/>
          <w:color w:val="1B3A6B"/>
          <w:sz w:val="26"/>
          <w:szCs w:val="26"/>
        </w:rPr>
        <w:t xml:space="preserve">Prepared For: Joe &amp; The Goodwill Fund</w:t>
      </w:r>
    </w:p>
    <w:p>
      <w:pPr>
        <w:spacing w:after="60"/>
        <w:jc w:val="center"/>
      </w:pPr>
      <w:r>
        <w:rPr>
          <w:rFonts w:ascii="Arial" w:cs="Arial" w:eastAsia="Arial" w:hAnsi="Arial"/>
          <w:b w:val="false"/>
          <w:bCs w:val="false"/>
          <w:color w:val="0D6E7A"/>
          <w:sz w:val="22"/>
          <w:szCs w:val="22"/>
        </w:rPr>
        <w:t xml:space="preserve">Investment Framework: Buffett · Munger · Marks · Greenblatt · Weschler</w:t>
      </w:r>
    </w:p>
    <w:p>
      <w:pPr>
        <w:spacing w:after="60"/>
        <w:jc w:val="center"/>
      </w:pPr>
      <w:r>
        <w:rPr>
          <w:rFonts w:ascii="Arial" w:cs="Arial" w:eastAsia="Arial" w:hAnsi="Arial"/>
          <w:b w:val="false"/>
          <w:bCs w:val="false"/>
          <w:color w:val="111111"/>
          <w:sz w:val="22"/>
          <w:szCs w:val="22"/>
        </w:rPr>
        <w:t xml:space="preserve">February 20, 2026</w:t>
      </w:r>
    </w:p>
    <w:p>
      <w:pPr>
        <w:spacing w:after="200"/>
        <w:jc w:val="left"/>
      </w:pPr>
      <w:r>
        <w:rPr>
          <w:rFonts w:ascii="Arial" w:cs="Arial" w:eastAsia="Arial" w:hAnsi="Arial"/>
          <w:b w:val="false"/>
          <w:bCs w:val="false"/>
          <w:i w:val="false"/>
          <w:iCs w:val="false"/>
          <w:color w:val="111111"/>
          <w:sz w:val="20"/>
          <w:szCs w:val="20"/>
        </w:rPr>
        <w:t xml:space="preserve"/>
      </w:r>
    </w:p>
    <w:p>
      <w:pPr>
        <w:pBdr>
          <w:bottom w:val="single" w:color="D4A017" w:sz="6" w:space="1"/>
        </w:pBdr>
        <w:spacing w:before="120" w:after="120"/>
      </w:pPr>
    </w:p>
    <w:p>
      <w:pPr>
        <w:spacing w:after="100"/>
        <w:jc w:val="left"/>
      </w:pPr>
      <w:r>
        <w:rPr>
          <w:rFonts w:ascii="Arial" w:cs="Arial" w:eastAsia="Arial" w:hAnsi="Arial"/>
          <w:b w:val="false"/>
          <w:bCs w:val="false"/>
          <w:i w:val="false"/>
          <w:iCs w:val="false"/>
          <w:color w:val="111111"/>
          <w:sz w:val="20"/>
          <w:szCs w:val="20"/>
        </w:rPr>
        <w:t xml:space="preserve"/>
      </w:r>
    </w:p>
    <w:p>
      <w:pPr>
        <w:spacing w:after="80"/>
        <w:jc w:val="center"/>
      </w:pPr>
      <w:r>
        <w:rPr>
          <w:rFonts w:ascii="Arial" w:cs="Arial" w:eastAsia="Arial" w:hAnsi="Arial"/>
          <w:b/>
          <w:bCs/>
          <w:color w:val="1B3A6B"/>
          <w:sz w:val="26"/>
          <w:szCs w:val="26"/>
        </w:rPr>
        <w:t xml:space="preserve">PORTFOLIO OBJECTIVE</w:t>
      </w:r>
    </w:p>
    <w:p>
      <w:pPr>
        <w:spacing w:after="60"/>
        <w:jc w:val="center"/>
      </w:pPr>
      <w:r>
        <w:rPr>
          <w:rFonts w:ascii="Arial" w:cs="Arial" w:eastAsia="Arial" w:hAnsi="Arial"/>
          <w:b/>
          <w:bCs/>
          <w:color w:val="1A7A4A"/>
          <w:sz w:val="28"/>
          <w:szCs w:val="28"/>
        </w:rPr>
        <w:t xml:space="preserve">$1.9M  →  $10M+ by Year 10  →  $20M+ by Year 20</w:t>
      </w:r>
    </w:p>
    <w:p>
      <w:pPr>
        <w:spacing w:after="60"/>
        <w:jc w:val="center"/>
      </w:pPr>
      <w:r>
        <w:rPr>
          <w:rFonts w:ascii="Arial" w:cs="Arial" w:eastAsia="Arial" w:hAnsi="Arial"/>
          <w:b w:val="false"/>
          <w:bCs w:val="false"/>
          <w:color w:val="111111"/>
          <w:sz w:val="22"/>
          <w:szCs w:val="22"/>
        </w:rPr>
        <w:t xml:space="preserve">Target Blended CAGR: 22–25%  |  Annual Lifestyle Skim: 3%</w:t>
      </w:r>
    </w:p>
    <w:p>
      <w:pPr>
        <w:spacing w:after="60"/>
        <w:jc w:val="center"/>
      </w:pPr>
      <w:r>
        <w:rPr>
          <w:rFonts w:ascii="Arial" w:cs="Arial" w:eastAsia="Arial" w:hAnsi="Arial"/>
          <w:color w:val="0D6E7A"/>
          <w:sz w:val="20"/>
          <w:szCs w:val="20"/>
        </w:rPr>
        <w:t xml:space="preserve">Legacy remainder for family + philanthropy</w:t>
      </w:r>
    </w:p>
    <w:p>
      <w:pPr>
        <w:spacing w:after="100"/>
        <w:jc w:val="left"/>
      </w:pPr>
      <w:r>
        <w:rPr>
          <w:rFonts w:ascii="Arial" w:cs="Arial" w:eastAsia="Arial" w:hAnsi="Arial"/>
          <w:b w:val="false"/>
          <w:bCs w:val="false"/>
          <w:i w:val="false"/>
          <w:iCs w:val="false"/>
          <w:color w:val="111111"/>
          <w:sz w:val="20"/>
          <w:szCs w:val="20"/>
        </w:rPr>
        <w:t xml:space="preserve"/>
      </w:r>
    </w:p>
    <w:p>
      <w:pPr>
        <w:pBdr>
          <w:bottom w:val="single" w:color="D4A017" w:sz="6" w:space="1"/>
        </w:pBdr>
        <w:spacing w:before="120" w:after="120"/>
      </w:pPr>
    </w:p>
    <w:p>
      <w:pPr>
        <w:spacing w:after="40"/>
        <w:jc w:val="center"/>
      </w:pPr>
      <w:r>
        <w:rPr>
          <w:rFonts w:ascii="Arial" w:cs="Arial" w:eastAsia="Arial" w:hAnsi="Arial"/>
          <w:color w:val="B22222"/>
          <w:sz w:val="16"/>
          <w:szCs w:val="16"/>
        </w:rPr>
        <w:t xml:space="preserve">⚠  This document is for personal investment research. Not financial advice. Consult your CPA and advisor before executing.</w:t>
      </w:r>
    </w:p>
    <w:p>
      <w:r>
        <w:br w:type="page"/>
      </w:r>
    </w:p>
    <w:p>
      <w:pPr>
        <w:pStyle w:val="Heading1"/>
        <w:spacing w:before="360" w:after="180"/>
      </w:pPr>
      <w:r>
        <w:rPr>
          <w:rFonts w:ascii="Arial" w:cs="Arial" w:eastAsia="Arial" w:hAnsi="Arial"/>
          <w:b/>
          <w:bCs/>
          <w:color w:val="1B3A6B"/>
          <w:sz w:val="36"/>
          <w:szCs w:val="36"/>
        </w:rPr>
        <w:t xml:space="preserve">The Goodwill Fund — Guiding Philosophy</w:t>
      </w:r>
    </w:p>
    <w:p>
      <w:pPr>
        <w:pBdr>
          <w:bottom w:val="single" w:color="D4A017" w:sz="6" w:space="1"/>
        </w:pBdr>
        <w:spacing w:before="120" w:after="120"/>
      </w:pPr>
    </w:p>
    <w:p>
      <w:pPr>
        <w:spacing w:after="120"/>
        <w:jc w:val="left"/>
      </w:pPr>
      <w:r>
        <w:rPr>
          <w:rFonts w:ascii="Arial" w:cs="Arial" w:eastAsia="Arial" w:hAnsi="Arial"/>
          <w:b/>
          <w:bCs/>
          <w:i w:val="false"/>
          <w:iCs w:val="false"/>
          <w:color w:val="111111"/>
          <w:sz w:val="22"/>
          <w:szCs w:val="22"/>
        </w:rPr>
        <w:t xml:space="preserve">You can't take it with you. Set aside what your children should inherit, allocate to your favorite charities, and spend the rest richly during your life with your family.</w:t>
      </w:r>
    </w:p>
    <w:p>
      <w:pPr>
        <w:spacing w:after="120"/>
        <w:jc w:val="left"/>
      </w:pPr>
      <w:r>
        <w:rPr>
          <w:rFonts w:ascii="Arial" w:cs="Arial" w:eastAsia="Arial" w:hAnsi="Arial"/>
          <w:b w:val="false"/>
          <w:bCs w:val="false"/>
          <w:i w:val="false"/>
          <w:iCs w:val="false"/>
          <w:color w:val="111111"/>
          <w:sz w:val="20"/>
          <w:szCs w:val="20"/>
        </w:rPr>
        <w:t xml:space="preserve">The strategy is simple: buy great businesses at fair prices, hold them through the crashes that will absolutely come, and let 40 years of compounding do the work that no amount of trading ever could.</w:t>
      </w:r>
    </w:p>
    <w:p>
      <w:pPr>
        <w:spacing w:after="120"/>
        <w:jc w:val="left"/>
      </w:pPr>
      <w:r>
        <w:rPr>
          <w:rFonts w:ascii="Arial" w:cs="Arial" w:eastAsia="Arial" w:hAnsi="Arial"/>
          <w:b w:val="false"/>
          <w:bCs w:val="false"/>
          <w:i w:val="false"/>
          <w:iCs w:val="false"/>
          <w:color w:val="111111"/>
          <w:sz w:val="20"/>
          <w:szCs w:val="20"/>
        </w:rPr>
        <w:t xml:space="preserve">Charlie Munger's golden rule: 'The first rule of compounding is to never interrupt it unnecessarily.' Every stock on this list will experience 30–50% drawdowns. The investors who ultimately collect 10–20x returns are not the ones who picked correctly — they are the ones who did not sell when it hurt.</w:t>
      </w:r>
    </w:p>
    <w:p>
      <w:pPr>
        <w:spacing w:before="200" w:after="100"/>
      </w:pPr>
      <w:r>
        <w:rPr>
          <w:rFonts w:ascii="Arial" w:cs="Arial" w:eastAsia="Arial" w:hAnsi="Arial"/>
          <w:b/>
          <w:bCs/>
          <w:color w:val="0D6E7A"/>
          <w:sz w:val="24"/>
          <w:szCs w:val="24"/>
        </w:rPr>
        <w:t xml:space="preserve">The CAGR Compounding Engine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CAGR</w:t>
            </w:r>
          </w:p>
        </w:tc>
        <w:tc>
          <w:tcPr>
            <w:tcW w:type="dxa" w:w="234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Doubles Every</w:t>
            </w:r>
          </w:p>
        </w:tc>
        <w:tc>
          <w:tcPr>
            <w:tcW w:type="dxa" w:w="234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10-Year Multiple</w:t>
            </w:r>
          </w:p>
        </w:tc>
        <w:tc>
          <w:tcPr>
            <w:tcW w:type="dxa" w:w="234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20-Year Multiple</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8"/>
                <w:szCs w:val="18"/>
              </w:rPr>
              <w:t xml:space="preserve">20%</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8"/>
                <w:szCs w:val="18"/>
              </w:rPr>
              <w:t xml:space="preserve">3.6 years</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11111"/>
                <w:sz w:val="18"/>
                <w:szCs w:val="18"/>
              </w:rPr>
              <w:t xml:space="preserve">6.2x</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11111"/>
                <w:sz w:val="18"/>
                <w:szCs w:val="18"/>
              </w:rPr>
              <w:t xml:space="preserve">38x</w:t>
            </w:r>
          </w:p>
        </w:tc>
      </w:tr>
      <w:tr>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8"/>
                <w:szCs w:val="18"/>
              </w:rPr>
              <w:t xml:space="preserve">22%</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8"/>
                <w:szCs w:val="18"/>
              </w:rPr>
              <w:t xml:space="preserve">3.2 years</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11111"/>
                <w:sz w:val="18"/>
                <w:szCs w:val="18"/>
              </w:rPr>
              <w:t xml:space="preserve">7.4x</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11111"/>
                <w:sz w:val="18"/>
                <w:szCs w:val="18"/>
              </w:rPr>
              <w:t xml:space="preserve">55x</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8"/>
                <w:szCs w:val="18"/>
              </w:rPr>
              <w:t xml:space="preserve">25%</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8"/>
                <w:szCs w:val="18"/>
              </w:rPr>
              <w:t xml:space="preserve">2.9 years</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9.3x</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87x</w:t>
            </w:r>
          </w:p>
        </w:tc>
      </w:tr>
      <w:tr>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8"/>
                <w:szCs w:val="18"/>
              </w:rPr>
              <w:t xml:space="preserve">30%</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8"/>
                <w:szCs w:val="18"/>
              </w:rPr>
              <w:t xml:space="preserve">2.6 years</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11111"/>
                <w:sz w:val="18"/>
                <w:szCs w:val="18"/>
              </w:rPr>
              <w:t xml:space="preserve">13.8x</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11111"/>
                <w:sz w:val="18"/>
                <w:szCs w:val="18"/>
              </w:rPr>
              <w:t xml:space="preserve">190x</w:t>
            </w:r>
          </w:p>
        </w:tc>
      </w:tr>
    </w:tbl>
    <w:p>
      <w:pPr>
        <w:spacing w:after="200"/>
        <w:jc w:val="left"/>
      </w:pPr>
      <w:r>
        <w:rPr>
          <w:rFonts w:ascii="Arial" w:cs="Arial" w:eastAsia="Arial" w:hAnsi="Arial"/>
          <w:b/>
          <w:bCs/>
          <w:i w:val="false"/>
          <w:iCs w:val="false"/>
          <w:color w:val="1A7A4A"/>
          <w:sz w:val="20"/>
          <w:szCs w:val="20"/>
        </w:rPr>
        <w:t xml:space="preserve">At 25% blended CAGR on $1.9M with 3% annual skim: Year 5 → ~$5.8M | Year 10 → ~$14M ✅ | Year 20 → ~$75M+ ✅</w:t>
      </w:r>
    </w:p>
    <w:p>
      <w:r>
        <w:br w:type="page"/>
      </w:r>
    </w:p>
    <w:p>
      <w:pPr>
        <w:pStyle w:val="Heading1"/>
        <w:spacing w:before="360" w:after="180"/>
      </w:pPr>
      <w:r>
        <w:rPr>
          <w:rFonts w:ascii="Arial" w:cs="Arial" w:eastAsia="Arial" w:hAnsi="Arial"/>
          <w:b/>
          <w:bCs/>
          <w:color w:val="1B3A6B"/>
          <w:sz w:val="36"/>
          <w:szCs w:val="36"/>
        </w:rPr>
        <w:t xml:space="preserve">DCF Methodology — How We Value Each Company</w:t>
      </w:r>
    </w:p>
    <w:p>
      <w:pPr>
        <w:pBdr>
          <w:bottom w:val="single" w:color="D4A017" w:sz="6" w:space="1"/>
        </w:pBdr>
        <w:spacing w:before="120" w:after="120"/>
      </w:pPr>
    </w:p>
    <w:p>
      <w:pPr>
        <w:spacing w:after="120"/>
        <w:jc w:val="left"/>
      </w:pPr>
      <w:r>
        <w:rPr>
          <w:rFonts w:ascii="Arial" w:cs="Arial" w:eastAsia="Arial" w:hAnsi="Arial"/>
          <w:b w:val="false"/>
          <w:bCs w:val="false"/>
          <w:i w:val="false"/>
          <w:iCs w:val="false"/>
          <w:color w:val="111111"/>
          <w:sz w:val="20"/>
          <w:szCs w:val="20"/>
        </w:rPr>
        <w:t xml:space="preserve">Every company in this report has been run through a two-stage Discounted Cash Flow model using three scenario assumptions. The DCF intrinsic value tells you what the business is worth today based on the present value of all future cash flows. The 10-year price target tells you what the stock price will likely be in 2036 if the company executes.</w:t>
      </w:r>
    </w:p>
    <w:p>
      <w:pPr>
        <w:spacing w:before="200" w:after="100"/>
      </w:pPr>
      <w:r>
        <w:rPr>
          <w:rFonts w:ascii="Arial" w:cs="Arial" w:eastAsia="Arial" w:hAnsi="Arial"/>
          <w:b/>
          <w:bCs/>
          <w:color w:val="0D6E7A"/>
          <w:sz w:val="24"/>
          <w:szCs w:val="24"/>
        </w:rPr>
        <w:t xml:space="preserve">DCF Scenario Assumptions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50"/>
        <w:gridCol w:w="2460"/>
        <w:gridCol w:w="2450"/>
      </w:tblGrid>
      <w:tr>
        <w:tc>
          <w:tcPr>
            <w:tcW w:type="dxa" w:w="200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Parameter</w:t>
            </w:r>
          </w:p>
        </w:tc>
        <w:tc>
          <w:tcPr>
            <w:tcW w:type="dxa" w:w="2450"/>
            <w:tcBorders>
              <w:top w:val="single" w:color="D0D5DD" w:sz="1"/>
              <w:left w:val="single" w:color="D0D5DD" w:sz="1"/>
              <w:bottom w:val="single" w:color="D0D5DD" w:sz="1"/>
              <w:right w:val="single" w:color="D0D5DD" w:sz="1"/>
            </w:tcBorders>
            <w:shd w:fill="B22222"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 Bear</w:t>
            </w:r>
          </w:p>
        </w:tc>
        <w:tc>
          <w:tcPr>
            <w:tcW w:type="dxa" w:w="2460"/>
            <w:tcBorders>
              <w:top w:val="single" w:color="D0D5DD" w:sz="1"/>
              <w:left w:val="single" w:color="D0D5DD" w:sz="1"/>
              <w:bottom w:val="single" w:color="D0D5DD" w:sz="1"/>
              <w:right w:val="single" w:color="D0D5DD" w:sz="1"/>
            </w:tcBorders>
            <w:shd w:fill="0D6E7A"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 Base</w:t>
            </w:r>
          </w:p>
        </w:tc>
        <w:tc>
          <w:tcPr>
            <w:tcW w:type="dxa" w:w="2450"/>
            <w:tcBorders>
              <w:top w:val="single" w:color="D0D5DD" w:sz="1"/>
              <w:left w:val="single" w:color="D0D5DD" w:sz="1"/>
              <w:bottom w:val="single" w:color="D0D5DD" w:sz="1"/>
              <w:right w:val="single" w:color="D0D5DD" w:sz="1"/>
            </w:tcBorders>
            <w:shd w:fill="1A7A4A"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 Bull</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Revenue Growth</w:t>
            </w:r>
          </w:p>
        </w:tc>
        <w:tc>
          <w:tcPr>
            <w:tcW w:type="dxa" w:w="245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5–10% (slowdown / competition)</w:t>
            </w:r>
          </w:p>
        </w:tc>
        <w:tc>
          <w:tcPr>
            <w:tcW w:type="dxa" w:w="24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12–22% (near consensus trajectory)</w:t>
            </w:r>
          </w:p>
        </w:tc>
        <w:tc>
          <w:tcPr>
            <w:tcW w:type="dxa" w:w="245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22–38% (full TAM realization)</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 Discount Rate</w:t>
            </w:r>
          </w:p>
        </w:tc>
        <w:tc>
          <w:tcPr>
            <w:tcW w:type="dxa" w:w="245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Higher by 1–2% (risk premium)</w:t>
            </w:r>
          </w:p>
        </w:tc>
        <w:tc>
          <w:tcPr>
            <w:tcW w:type="dxa" w:w="24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Company-specific (8–13%)</w:t>
            </w:r>
          </w:p>
        </w:tc>
        <w:tc>
          <w:tcPr>
            <w:tcW w:type="dxa" w:w="245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Lower by 0.5–1% (de-risked)</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Terminal Growth Rate</w:t>
            </w:r>
          </w:p>
        </w:tc>
        <w:tc>
          <w:tcPr>
            <w:tcW w:type="dxa" w:w="245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2–3% (GDP parity / stagnation)</w:t>
            </w:r>
          </w:p>
        </w:tc>
        <w:tc>
          <w:tcPr>
            <w:tcW w:type="dxa" w:w="24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3–4% (above-GDP moat business)</w:t>
            </w:r>
          </w:p>
        </w:tc>
        <w:tc>
          <w:tcPr>
            <w:tcW w:type="dxa" w:w="245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4–5% (compounding platform)</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Margin Trajectory</w:t>
            </w:r>
          </w:p>
        </w:tc>
        <w:tc>
          <w:tcPr>
            <w:tcW w:type="dxa" w:w="245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Compression (competition / cost)</w:t>
            </w:r>
          </w:p>
        </w:tc>
        <w:tc>
          <w:tcPr>
            <w:tcW w:type="dxa" w:w="24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Stable to modest expansion</w:t>
            </w:r>
          </w:p>
        </w:tc>
        <w:tc>
          <w:tcPr>
            <w:tcW w:type="dxa" w:w="245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Meaningful expansion (scale)</w:t>
            </w:r>
          </w:p>
        </w:tc>
      </w:tr>
    </w:tbl>
    <w:p>
      <w:pPr>
        <w:spacing w:after="200"/>
        <w:jc w:val="left"/>
      </w:pPr>
      <w:r>
        <w:rPr>
          <w:rFonts w:ascii="Arial" w:cs="Arial" w:eastAsia="Arial" w:hAnsi="Arial"/>
          <w:b w:val="false"/>
          <w:bCs w:val="false"/>
          <w:i/>
          <w:iCs/>
          <w:color w:val="111111"/>
          <w:sz w:val="20"/>
          <w:szCs w:val="20"/>
        </w:rPr>
        <w:t xml:space="preserve">Interpretation: If the stock trades BELOW the Bear DCF, it is extremely undervalued on even a pessimistic scenario. If it trades near the Base DCF, you are paying fair value. If above the Bull DCF, you are pricing in perfection.</w:t>
      </w:r>
    </w:p>
    <w:p>
      <w:r>
        <w:br w:type="page"/>
      </w:r>
    </w:p>
    <w:p>
      <w:pPr>
        <w:pStyle w:val="Heading1"/>
        <w:spacing w:before="360" w:after="180"/>
      </w:pPr>
      <w:r>
        <w:rPr>
          <w:rFonts w:ascii="Arial" w:cs="Arial" w:eastAsia="Arial" w:hAnsi="Arial"/>
          <w:b/>
          <w:bCs/>
          <w:color w:val="1B3A6B"/>
          <w:sz w:val="36"/>
          <w:szCs w:val="36"/>
        </w:rPr>
        <w:t xml:space="preserve">SECTION 1: 100% CONVICTION PORTFOLIO — 15 STOCKS</w:t>
      </w:r>
    </w:p>
    <w:p>
      <w:pPr>
        <w:spacing w:after="120"/>
        <w:jc w:val="left"/>
      </w:pPr>
      <w:r>
        <w:rPr>
          <w:rFonts w:ascii="Arial" w:cs="Arial" w:eastAsia="Arial" w:hAnsi="Arial"/>
          <w:b/>
          <w:bCs/>
          <w:i w:val="false"/>
          <w:iCs w:val="false"/>
          <w:color w:val="111111"/>
          <w:sz w:val="20"/>
          <w:szCs w:val="20"/>
        </w:rPr>
        <w:t xml:space="preserve">These 15 positions represent maximum conviction. The strategy: buy, hold through all volatility, never interrupt the compounding. Coordinate all entries with your CPA around the April 2026 Roth conversion window.</w:t>
      </w:r>
    </w:p>
    <w:p>
      <w:pPr>
        <w:pBdr>
          <w:bottom w:val="single" w:color="D4A017" w:sz="6" w:space="1"/>
        </w:pBdr>
        <w:spacing w:before="120" w:after="120"/>
      </w:pPr>
    </w:p>
    <w:p>
      <w:pPr>
        <w:spacing w:after="120"/>
        <w:jc w:val="left"/>
      </w:pPr>
      <w:r>
        <w:rPr>
          <w:rFonts w:ascii="Arial" w:cs="Arial" w:eastAsia="Arial" w:hAnsi="Arial"/>
          <w:b w:val="false"/>
          <w:bCs w:val="false"/>
          <w:i w:val="false"/>
          <w:iCs w:val="false"/>
          <w:color w:val="111111"/>
          <w:sz w:val="20"/>
          <w:szCs w:val="20"/>
        </w:rPr>
        <w:t xml:space="preserve"/>
      </w:r>
    </w:p>
    <w:p>
      <w:pPr>
        <w:pStyle w:val="Heading2"/>
        <w:spacing w:before="280" w:after="140"/>
      </w:pPr>
      <w:r>
        <w:rPr>
          <w:rFonts w:ascii="Arial" w:cs="Arial" w:eastAsia="Arial" w:hAnsi="Arial"/>
          <w:b/>
          <w:bCs/>
          <w:color w:val="0D6E7A"/>
          <w:sz w:val="28"/>
          <w:szCs w:val="28"/>
        </w:rPr>
        <w:t xml:space="preserve">Master Summary — 100% Conviction (15 Stocks)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520"/>
        <w:gridCol w:w="720"/>
        <w:gridCol w:w="720"/>
        <w:gridCol w:w="800"/>
        <w:gridCol w:w="780"/>
        <w:gridCol w:w="780"/>
        <w:gridCol w:w="780"/>
        <w:gridCol w:w="780"/>
        <w:gridCol w:w="900"/>
      </w:tblGrid>
      <w:tr>
        <w:tc>
          <w:tcPr>
            <w:tcW w:type="dxa" w:w="78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Ticker</w:t>
            </w:r>
          </w:p>
        </w:tc>
        <w:tc>
          <w:tcPr>
            <w:tcW w:type="dxa" w:w="52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Price</w:t>
            </w:r>
          </w:p>
        </w:tc>
        <w:tc>
          <w:tcPr>
            <w:tcW w:type="dxa" w:w="72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52w Low</w:t>
            </w:r>
          </w:p>
        </w:tc>
        <w:tc>
          <w:tcPr>
            <w:tcW w:type="dxa" w:w="72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MOS Entry</w:t>
            </w:r>
          </w:p>
        </w:tc>
        <w:tc>
          <w:tcPr>
            <w:tcW w:type="dxa" w:w="80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Debt</w:t>
            </w:r>
          </w:p>
        </w:tc>
        <w:tc>
          <w:tcPr>
            <w:tcW w:type="dxa" w:w="78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EPS CAGR 10yr</w:t>
            </w:r>
          </w:p>
        </w:tc>
        <w:tc>
          <w:tcPr>
            <w:tcW w:type="dxa" w:w="78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ROIC 10yr</w:t>
            </w:r>
          </w:p>
        </w:tc>
        <w:tc>
          <w:tcPr>
            <w:tcW w:type="dxa" w:w="78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DCF Base</w:t>
            </w:r>
          </w:p>
        </w:tc>
        <w:tc>
          <w:tcPr>
            <w:tcW w:type="dxa" w:w="78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Base 10yr</w:t>
            </w:r>
          </w:p>
        </w:tc>
        <w:tc>
          <w:tcPr>
            <w:tcW w:type="dxa" w:w="90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Base Multiple</w:t>
            </w:r>
          </w:p>
        </w:tc>
      </w:tr>
      <w:tr>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MELI</w:t>
            </w:r>
          </w:p>
        </w:tc>
        <w:tc>
          <w:tcPr>
            <w:tcW w:type="dxa" w:w="5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$2,012</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$1,724</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$1,509</w:t>
            </w:r>
          </w:p>
        </w:tc>
        <w:tc>
          <w:tcPr>
            <w:tcW w:type="dxa" w:w="8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1.59</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~55%+</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~10–18% avg</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$2,800</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$14,500</w:t>
            </w:r>
          </w:p>
        </w:tc>
        <w:tc>
          <w:tcPr>
            <w:tcW w:type="dxa" w:w="9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7.2x</w:t>
            </w:r>
          </w:p>
        </w:tc>
      </w:tr>
      <w:tr>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AMZN</w:t>
            </w:r>
          </w:p>
        </w:tc>
        <w:tc>
          <w:tcPr>
            <w:tcW w:type="dxa" w:w="5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$205</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$168</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$154</w:t>
            </w:r>
          </w:p>
        </w:tc>
        <w:tc>
          <w:tcPr>
            <w:tcW w:type="dxa" w:w="8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0.30</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~28% CAGR</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~8–15% avg</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$240</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$1,265</w:t>
            </w:r>
          </w:p>
        </w:tc>
        <w:tc>
          <w:tcPr>
            <w:tcW w:type="dxa" w:w="9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6.2x</w:t>
            </w:r>
          </w:p>
        </w:tc>
      </w:tr>
      <w:tr>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NVDA</w:t>
            </w:r>
          </w:p>
        </w:tc>
        <w:tc>
          <w:tcPr>
            <w:tcW w:type="dxa" w:w="5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$188</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$87</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$141</w:t>
            </w:r>
          </w:p>
        </w:tc>
        <w:tc>
          <w:tcPr>
            <w:tcW w:type="dxa" w:w="8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0.09</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~65%+ CAGR</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~68% avg</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$220</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$1,355</w:t>
            </w:r>
          </w:p>
        </w:tc>
        <w:tc>
          <w:tcPr>
            <w:tcW w:type="dxa" w:w="9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7.2x</w:t>
            </w:r>
          </w:p>
        </w:tc>
      </w:tr>
      <w:tr>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V</w:t>
            </w:r>
          </w:p>
        </w:tc>
        <w:tc>
          <w:tcPr>
            <w:tcW w:type="dxa" w:w="5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$319</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$299</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$239</w:t>
            </w:r>
          </w:p>
        </w:tc>
        <w:tc>
          <w:tcPr>
            <w:tcW w:type="dxa" w:w="8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0.55</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~17% CAGR</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~19–27% avg</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$380</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$1,680</w:t>
            </w:r>
          </w:p>
        </w:tc>
        <w:tc>
          <w:tcPr>
            <w:tcW w:type="dxa" w:w="9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5.3x</w:t>
            </w:r>
          </w:p>
        </w:tc>
      </w:tr>
      <w:tr>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FICO</w:t>
            </w:r>
          </w:p>
        </w:tc>
        <w:tc>
          <w:tcPr>
            <w:tcW w:type="dxa" w:w="5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$2,150</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$1,800</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$1,613</w:t>
            </w:r>
          </w:p>
        </w:tc>
        <w:tc>
          <w:tcPr>
            <w:tcW w:type="dxa" w:w="8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~1.1 (all term debt, no current issues)</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~28% CAGR</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~30–45% avg</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$2,600</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$15,500</w:t>
            </w:r>
          </w:p>
        </w:tc>
        <w:tc>
          <w:tcPr>
            <w:tcW w:type="dxa" w:w="9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7.2x</w:t>
            </w:r>
          </w:p>
        </w:tc>
      </w:tr>
      <w:tr>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CSU.TO</w:t>
            </w:r>
          </w:p>
        </w:tc>
        <w:tc>
          <w:tcPr>
            <w:tcW w:type="dxa" w:w="5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CAD $2,400
~USD $1,715</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CAD $2,196</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CAD $1,800</w:t>
            </w:r>
          </w:p>
        </w:tc>
        <w:tc>
          <w:tcPr>
            <w:tcW w:type="dxa" w:w="8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~0.5</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~25% CAGR since IPO</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~25–35% avg</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CAD $3,200</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CAD $17,280</w:t>
            </w:r>
          </w:p>
        </w:tc>
        <w:tc>
          <w:tcPr>
            <w:tcW w:type="dxa" w:w="9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7.2x</w:t>
            </w:r>
          </w:p>
        </w:tc>
      </w:tr>
      <w:tr>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GOOGL</w:t>
            </w:r>
          </w:p>
        </w:tc>
        <w:tc>
          <w:tcPr>
            <w:tcW w:type="dxa" w:w="5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$303</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$141</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$227</w:t>
            </w:r>
          </w:p>
        </w:tc>
        <w:tc>
          <w:tcPr>
            <w:tcW w:type="dxa" w:w="8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~0.07</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~19% CAGR</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~18–25% avg</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$360</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$1,595</w:t>
            </w:r>
          </w:p>
        </w:tc>
        <w:tc>
          <w:tcPr>
            <w:tcW w:type="dxa" w:w="9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5.3x</w:t>
            </w:r>
          </w:p>
        </w:tc>
      </w:tr>
      <w:tr>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NU</w:t>
            </w:r>
          </w:p>
        </w:tc>
        <w:tc>
          <w:tcPr>
            <w:tcW w:type="dxa" w:w="5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$16.82</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$9.01</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$12.62</w:t>
            </w:r>
          </w:p>
        </w:tc>
        <w:tc>
          <w:tcPr>
            <w:tcW w:type="dxa" w:w="8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~0.3 (customer deposits, not leverage)</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N/A</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Early-stage; recent ROIC 12–18%</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$22</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$196</w:t>
            </w:r>
          </w:p>
        </w:tc>
        <w:tc>
          <w:tcPr>
            <w:tcW w:type="dxa" w:w="9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11.7x</w:t>
            </w:r>
          </w:p>
        </w:tc>
      </w:tr>
      <w:tr>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SE</w:t>
            </w:r>
          </w:p>
        </w:tc>
        <w:tc>
          <w:tcPr>
            <w:tcW w:type="dxa" w:w="5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$113</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$75</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$85</w:t>
            </w:r>
          </w:p>
        </w:tc>
        <w:tc>
          <w:tcPr>
            <w:tcW w:type="dxa" w:w="8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~0.35</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N/A</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Negative to early-positive</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$150</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$1,030</w:t>
            </w:r>
          </w:p>
        </w:tc>
        <w:tc>
          <w:tcPr>
            <w:tcW w:type="dxa" w:w="9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9.1x</w:t>
            </w:r>
          </w:p>
        </w:tc>
      </w:tr>
      <w:tr>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SHOP</w:t>
            </w:r>
          </w:p>
        </w:tc>
        <w:tc>
          <w:tcPr>
            <w:tcW w:type="dxa" w:w="5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$123</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$70</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$92</w:t>
            </w:r>
          </w:p>
        </w:tc>
        <w:tc>
          <w:tcPr>
            <w:tcW w:type="dxa" w:w="8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~0.18</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N/A</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Early-stage; now improving</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$145</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$885</w:t>
            </w:r>
          </w:p>
        </w:tc>
        <w:tc>
          <w:tcPr>
            <w:tcW w:type="dxa" w:w="9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7.2x</w:t>
            </w:r>
          </w:p>
        </w:tc>
      </w:tr>
      <w:tr>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MCO</w:t>
            </w:r>
          </w:p>
        </w:tc>
        <w:tc>
          <w:tcPr>
            <w:tcW w:type="dxa" w:w="5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$448</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$379</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$336</w:t>
            </w:r>
          </w:p>
        </w:tc>
        <w:tc>
          <w:tcPr>
            <w:tcW w:type="dxa" w:w="8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~0.85</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~18% CAGR</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~18–28% avg</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$520</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$2,360</w:t>
            </w:r>
          </w:p>
        </w:tc>
        <w:tc>
          <w:tcPr>
            <w:tcW w:type="dxa" w:w="9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5.3x</w:t>
            </w:r>
          </w:p>
        </w:tc>
      </w:tr>
      <w:tr>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META</w:t>
            </w:r>
          </w:p>
        </w:tc>
        <w:tc>
          <w:tcPr>
            <w:tcW w:type="dxa" w:w="5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$645</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$480</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$484</w:t>
            </w:r>
          </w:p>
        </w:tc>
        <w:tc>
          <w:tcPr>
            <w:tcW w:type="dxa" w:w="8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0.39</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~23% CAGR</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~33% avg</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$790</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$3,985</w:t>
            </w:r>
          </w:p>
        </w:tc>
        <w:tc>
          <w:tcPr>
            <w:tcW w:type="dxa" w:w="9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6.2x</w:t>
            </w:r>
          </w:p>
        </w:tc>
      </w:tr>
      <w:tr>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MSFT</w:t>
            </w:r>
          </w:p>
        </w:tc>
        <w:tc>
          <w:tcPr>
            <w:tcW w:type="dxa" w:w="5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$400</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$345</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$300</w:t>
            </w:r>
          </w:p>
        </w:tc>
        <w:tc>
          <w:tcPr>
            <w:tcW w:type="dxa" w:w="8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0.09</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~18% CAGR</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~25% avg</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$480</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$2,107</w:t>
            </w:r>
          </w:p>
        </w:tc>
        <w:tc>
          <w:tcPr>
            <w:tcW w:type="dxa" w:w="9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5.3x</w:t>
            </w:r>
          </w:p>
        </w:tc>
      </w:tr>
      <w:tr>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SPGI</w:t>
            </w:r>
          </w:p>
        </w:tc>
        <w:tc>
          <w:tcPr>
            <w:tcW w:type="dxa" w:w="5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$420</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$382</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$315</w:t>
            </w:r>
          </w:p>
        </w:tc>
        <w:tc>
          <w:tcPr>
            <w:tcW w:type="dxa" w:w="8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0.38</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~13.5% CAGR</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~8–12% avg</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$432</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$2,213</w:t>
            </w:r>
          </w:p>
        </w:tc>
        <w:tc>
          <w:tcPr>
            <w:tcW w:type="dxa" w:w="9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5.3x</w:t>
            </w:r>
          </w:p>
        </w:tc>
      </w:tr>
    </w:tbl>
    <w:p>
      <w:pPr>
        <w:spacing w:after="200"/>
        <w:jc w:val="left"/>
      </w:pPr>
      <w:r>
        <w:rPr>
          <w:rFonts w:ascii="Arial" w:cs="Arial" w:eastAsia="Arial" w:hAnsi="Arial"/>
          <w:b w:val="false"/>
          <w:bCs w:val="false"/>
          <w:i w:val="false"/>
          <w:iCs w:val="false"/>
          <w:color w:val="111111"/>
          <w:sz w:val="20"/>
          <w:szCs w:val="20"/>
        </w:rPr>
        <w:t xml:space="preserve"/>
      </w:r>
    </w:p>
    <w:p>
      <w:r>
        <w:br w:type="page"/>
      </w:r>
    </w:p>
    <w:p>
      <w:pPr>
        <w:spacing w:after="120"/>
        <w:jc w:val="left"/>
      </w:pPr>
      <w:r>
        <w:rPr>
          <w:rFonts w:ascii="Arial" w:cs="Arial" w:eastAsia="Arial" w:hAnsi="Arial"/>
          <w:b/>
          <w:bCs/>
          <w:i w:val="false"/>
          <w:iCs w:val="false"/>
          <w:color w:val="1B3A6B"/>
          <w:sz w:val="28"/>
          <w:szCs w:val="28"/>
        </w:rPr>
        <w:t xml:space="preserve">INDIVIDUAL STOCK DEEP DIVES</w:t>
      </w:r>
    </w:p>
    <w:p>
      <w:pPr>
        <w:pBdr>
          <w:bottom w:val="single" w:color="D4A017" w:sz="6" w:space="1"/>
        </w:pBdr>
        <w:spacing w:before="120" w:after="120"/>
      </w:pPr>
    </w:p>
    <w:p>
      <w:pPr>
        <w:spacing w:after="12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1B3A6B" w:val="clear"/>
            <w:tcMar>
              <w:top w:type="dxa" w:w="100"/>
              <w:left w:type="dxa" w:w="160"/>
              <w:bottom w:type="dxa" w:w="100"/>
              <w:right w:type="dxa" w:w="160"/>
            </w:tcMar>
          </w:tcPr>
          <w:p>
            <w:r>
              <w:rPr>
                <w:rFonts w:ascii="Arial" w:cs="Arial" w:eastAsia="Arial" w:hAnsi="Arial"/>
                <w:b/>
                <w:bCs/>
                <w:color w:val="FFFFFF"/>
                <w:sz w:val="26"/>
                <w:szCs w:val="26"/>
              </w:rPr>
              <w:t xml:space="preserve">1. MELI  —  MercadoLibre</w:t>
            </w:r>
            <w:r>
              <w:rPr>
                <w:rFonts w:ascii="Arial" w:cs="Arial" w:eastAsia="Arial" w:hAnsi="Arial"/>
                <w:b w:val="false"/>
                <w:bCs w:val="false"/>
                <w:color w:val="CCDDFF"/>
                <w:sz w:val="20"/>
                <w:szCs w:val="20"/>
              </w:rPr>
              <w:t xml:space="preserve">     LatAm E-Commerce + Fintech</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$2,012</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$1,724 / $2,645</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$1,509</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Network Effects + Ecosystem Lock-in</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Debt $5.8B (0.9x EBITDA — manageable for fintech)</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1.59</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~55%+ (accelerating; EPS $0.10→$41 in 10 yrs)</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~10–18% avg (scaling rapidly)</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~15%</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22–28% by 2028 as fintech matures</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~10%</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$1,200 (12% gr, 11% WACC, 3% term)</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$2,800 (20% gr, 10%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$5,500 (28% gr, 9%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$6,250 (3.1x)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$14,500 (7.2x)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$30,000  (14.9x)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Amazon + PayPal + FedEx of 700M-person LatAm market. 27 consecutive quarters of 30%+ revenue growth. Fintech at only 15% penetration. Credit portfolio growing 83% YoY.</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LatAm FX volatility, credit cycle risk in fintech, macro slowdown in Brazil/Mexico</w:t>
            </w:r>
          </w:p>
        </w:tc>
      </w:tr>
    </w:tbl>
    <w:p>
      <w:pPr>
        <w:spacing w:after="18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1B3A6B" w:val="clear"/>
            <w:tcMar>
              <w:top w:type="dxa" w:w="100"/>
              <w:left w:type="dxa" w:w="160"/>
              <w:bottom w:type="dxa" w:w="100"/>
              <w:right w:type="dxa" w:w="160"/>
            </w:tcMar>
          </w:tcPr>
          <w:p>
            <w:r>
              <w:rPr>
                <w:rFonts w:ascii="Arial" w:cs="Arial" w:eastAsia="Arial" w:hAnsi="Arial"/>
                <w:b/>
                <w:bCs/>
                <w:color w:val="FFFFFF"/>
                <w:sz w:val="26"/>
                <w:szCs w:val="26"/>
              </w:rPr>
              <w:t xml:space="preserve">2. AMZN  —  Amazon</w:t>
            </w:r>
            <w:r>
              <w:rPr>
                <w:rFonts w:ascii="Arial" w:cs="Arial" w:eastAsia="Arial" w:hAnsi="Arial"/>
                <w:b w:val="false"/>
                <w:bCs w:val="false"/>
                <w:color w:val="CCDDFF"/>
                <w:sz w:val="20"/>
                <w:szCs w:val="20"/>
              </w:rPr>
              <w:t xml:space="preserve">     Cloud + E-Commerce + Advertising</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$205</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$168 / $242</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$154</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AWS Cloud Lock-in + Prime Flywheel + Logistics</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Cash $13B; Total Debt $67B but $80B cash</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0.30</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~28% CAGR (from losses to $5.53 EPS TTM)</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~8–15% avg (distorted by reinvestment)</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~16%</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20–25% as AWS/Advertising margins expand</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~9%</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$120 (10% gr, 10% WACC, 3% term)</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$240 (18% gr, 9%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$450 (25% gr, 8.5%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$636 (3.1x)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$1,265 (6.2x)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$2,350  (11.5x)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AWS re-accelerating at 24% growth; $244B committed backlog. Advertising is a $60B+ high-margin hidden gem. $200B capex in 2026 locking in AI infrastructure dominance for decade.</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AWS competition from Google/Microsoft, regulatory antitrust risk, thin retail margins</w:t>
            </w:r>
          </w:p>
        </w:tc>
      </w:tr>
    </w:tbl>
    <w:p>
      <w:pPr>
        <w:spacing w:after="18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1B3A6B" w:val="clear"/>
            <w:tcMar>
              <w:top w:type="dxa" w:w="100"/>
              <w:left w:type="dxa" w:w="160"/>
              <w:bottom w:type="dxa" w:w="100"/>
              <w:right w:type="dxa" w:w="160"/>
            </w:tcMar>
          </w:tcPr>
          <w:p>
            <w:r>
              <w:rPr>
                <w:rFonts w:ascii="Arial" w:cs="Arial" w:eastAsia="Arial" w:hAnsi="Arial"/>
                <w:b/>
                <w:bCs/>
                <w:color w:val="FFFFFF"/>
                <w:sz w:val="26"/>
                <w:szCs w:val="26"/>
              </w:rPr>
              <w:t xml:space="preserve">3. NVDA  —  NVIDIA</w:t>
            </w:r>
            <w:r>
              <w:rPr>
                <w:rFonts w:ascii="Arial" w:cs="Arial" w:eastAsia="Arial" w:hAnsi="Arial"/>
                <w:b w:val="false"/>
                <w:bCs w:val="false"/>
                <w:color w:val="CCDDFF"/>
                <w:sz w:val="20"/>
                <w:szCs w:val="20"/>
              </w:rPr>
              <w:t xml:space="preserve">     AI Semiconductors + Software</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$188</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$87 / $212</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$141</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CUDA Software Ecosystem (10yr switching cost moat)</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Cash $49.8B; virtually zero net debt</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0.09</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~65%+ CAGR (explosive recent acceleration)</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~68% avg (best-in-class)</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153–165%</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80–100% (normalizes from peak as capex grows)</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~10–12% (high beta)</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$100 (15% gr, 12% WACC, 3% term)</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$220 (25% gr, 10%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$480 (35% gr, 9%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$583 (3.1x)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$1,355 (7.2x)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$3,400  (18.1x)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Every AI model, data center, and autonomous system runs on NVIDIA silicon. CUDA software creates 10+ year switching costs. Net cash fortress at $49B. 52-wk low was $87 during tariff panic.</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Custom chip development by Meta/Google/Amazon, China export restrictions, cyclicality</w:t>
            </w:r>
          </w:p>
        </w:tc>
      </w:tr>
    </w:tbl>
    <w:p>
      <w:pPr>
        <w:spacing w:after="18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1B3A6B" w:val="clear"/>
            <w:tcMar>
              <w:top w:type="dxa" w:w="100"/>
              <w:left w:type="dxa" w:w="160"/>
              <w:bottom w:type="dxa" w:w="100"/>
              <w:right w:type="dxa" w:w="160"/>
            </w:tcMar>
          </w:tcPr>
          <w:p>
            <w:r>
              <w:rPr>
                <w:rFonts w:ascii="Arial" w:cs="Arial" w:eastAsia="Arial" w:hAnsi="Arial"/>
                <w:b/>
                <w:bCs/>
                <w:color w:val="FFFFFF"/>
                <w:sz w:val="26"/>
                <w:szCs w:val="26"/>
              </w:rPr>
              <w:t xml:space="preserve">4. V  —  Visa Inc.</w:t>
            </w:r>
            <w:r>
              <w:rPr>
                <w:rFonts w:ascii="Arial" w:cs="Arial" w:eastAsia="Arial" w:hAnsi="Arial"/>
                <w:b w:val="false"/>
                <w:bCs w:val="false"/>
                <w:color w:val="CCDDFF"/>
                <w:sz w:val="20"/>
                <w:szCs w:val="20"/>
              </w:rPr>
              <w:t xml:space="preserve">     Global Payments Infrastructure</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$319</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$299 / $376</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$239</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Network Effects (200+ countries, 4.4B cards)</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Debt $4.8B — effectively negligible vs. $22B FCF</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0.55</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~17% CAGR (remarkably consistent)</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~19–27% avg (growing)</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27–29%</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30–35% as digital payments penetrate cash economies</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~8.5%</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$225 (10% gr, 9% WACC, 3% term)</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$380 (16% gr, 8.5%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$620 (22% gr, 8%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$827 (2.6x)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$1,680 (5.3x)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$2,850  (8.9x)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Global toll booth on $20T of remaining cash transactions. Zero manufacturing risk. 50%+ net margins. 67% operating margin. Processes 65,000 transactions/second across 200 countries.</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Regulatory interchange fee pressure, fintech competition, debit routing rules</w:t>
            </w:r>
          </w:p>
        </w:tc>
      </w:tr>
    </w:tbl>
    <w:p>
      <w:pPr>
        <w:spacing w:after="18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1B3A6B" w:val="clear"/>
            <w:tcMar>
              <w:top w:type="dxa" w:w="100"/>
              <w:left w:type="dxa" w:w="160"/>
              <w:bottom w:type="dxa" w:w="100"/>
              <w:right w:type="dxa" w:w="160"/>
            </w:tcMar>
          </w:tcPr>
          <w:p>
            <w:r>
              <w:rPr>
                <w:rFonts w:ascii="Arial" w:cs="Arial" w:eastAsia="Arial" w:hAnsi="Arial"/>
                <w:b/>
                <w:bCs/>
                <w:color w:val="FFFFFF"/>
                <w:sz w:val="26"/>
                <w:szCs w:val="26"/>
              </w:rPr>
              <w:t xml:space="preserve">5. FICO  —  Fair Isaac Corp.</w:t>
            </w:r>
            <w:r>
              <w:rPr>
                <w:rFonts w:ascii="Arial" w:cs="Arial" w:eastAsia="Arial" w:hAnsi="Arial"/>
                <w:b w:val="false"/>
                <w:bCs w:val="false"/>
                <w:color w:val="CCDDFF"/>
                <w:sz w:val="20"/>
                <w:szCs w:val="20"/>
              </w:rPr>
              <w:t xml:space="preserve">     Credit Scoring Monopoly</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$2,150</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$1,800 / $2,450</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$1,613</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Regulatory Moat (Fannie Mae/Freddie Mac contractual requirement)</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Debt ~$2.4B — very manageable vs. earnings power</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~1.1 (all term debt, no current issues)</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~28% CAGR (pricing power in action)</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~30–45% avg (asset-light miracle)</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~80–90%+ (asset-light)</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70–85% (sustains as pricing continues)</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~8.5%</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$1,300 (12% gr, 9% WACC, 3% term)</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$2,600 (20% gr, 8.5%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$4,800 (28% gr, 8%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$6,675 (3.1x)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$15,500 (7.2x)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$28,900  (13.4x)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Every mortgage, auto loan, and credit card in America legally requires a FICO score. Contractually embedded. Unlimited pricing power proven over decades. Near-zero capital required to grow.</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FHFA regulatory push to allow VantageScore, legislative risk to government-mandated usage</w:t>
            </w:r>
          </w:p>
        </w:tc>
      </w:tr>
    </w:tbl>
    <w:p>
      <w:pPr>
        <w:spacing w:after="18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1B3A6B" w:val="clear"/>
            <w:tcMar>
              <w:top w:type="dxa" w:w="100"/>
              <w:left w:type="dxa" w:w="160"/>
              <w:bottom w:type="dxa" w:w="100"/>
              <w:right w:type="dxa" w:w="160"/>
            </w:tcMar>
          </w:tcPr>
          <w:p>
            <w:r>
              <w:rPr>
                <w:rFonts w:ascii="Arial" w:cs="Arial" w:eastAsia="Arial" w:hAnsi="Arial"/>
                <w:b/>
                <w:bCs/>
                <w:color w:val="FFFFFF"/>
                <w:sz w:val="26"/>
                <w:szCs w:val="26"/>
              </w:rPr>
              <w:t xml:space="preserve">6. CSU.TO  —  Constellation Software</w:t>
            </w:r>
            <w:r>
              <w:rPr>
                <w:rFonts w:ascii="Arial" w:cs="Arial" w:eastAsia="Arial" w:hAnsi="Arial"/>
                <w:b w:val="false"/>
                <w:bCs w:val="false"/>
                <w:color w:val="CCDDFF"/>
                <w:sz w:val="20"/>
                <w:szCs w:val="20"/>
              </w:rPr>
              <w:t xml:space="preserve">     Vertical Market Software (SaaS Acquirer)</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CAD $2,400
~USD $1,715</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CAD $2,196 / CAD $5,300</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CAD $1,800</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Switching Costs + Berkshire-style Acquisition Compounding</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Debt ~CAD $2B — typical for acquisition vehicle</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~0.5</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~25% CAGR since IPO (26% since 2006)</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~25–35% avg (exceptional)</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~28–32%</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25–30% (sustains acquisition discipline)</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~8.5%</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CAD $1,500 (12% gr, 9% WACC, 3% term)</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CAD $3,200 (20% gr, 8.5%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CAD $6,000 (28% gr, 8%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CAD $7,445 (3.1x)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CAD $17,280 (7.2x)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CAD $28,000  (11.7x)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Berkshire model applied to vertical market software. Acquires ~80 companies/yr, never sells. 40,000+ potential targets globally. Joe's Epicor/Eagle background gives him direct insight into this moat. Down 55% from 52-wk high — exceptional entry window NOW.</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Acquisition pipeline drying up, price inflation for targets, key-person risk with founders</w:t>
            </w:r>
          </w:p>
        </w:tc>
      </w:tr>
    </w:tbl>
    <w:p>
      <w:pPr>
        <w:spacing w:after="18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1B3A6B" w:val="clear"/>
            <w:tcMar>
              <w:top w:type="dxa" w:w="100"/>
              <w:left w:type="dxa" w:w="160"/>
              <w:bottom w:type="dxa" w:w="100"/>
              <w:right w:type="dxa" w:w="160"/>
            </w:tcMar>
          </w:tcPr>
          <w:p>
            <w:r>
              <w:rPr>
                <w:rFonts w:ascii="Arial" w:cs="Arial" w:eastAsia="Arial" w:hAnsi="Arial"/>
                <w:b/>
                <w:bCs/>
                <w:color w:val="FFFFFF"/>
                <w:sz w:val="26"/>
                <w:szCs w:val="26"/>
              </w:rPr>
              <w:t xml:space="preserve">7. GOOGL  —  Alphabet / Google</w:t>
            </w:r>
            <w:r>
              <w:rPr>
                <w:rFonts w:ascii="Arial" w:cs="Arial" w:eastAsia="Arial" w:hAnsi="Arial"/>
                <w:b w:val="false"/>
                <w:bCs w:val="false"/>
                <w:color w:val="CCDDFF"/>
                <w:sz w:val="20"/>
                <w:szCs w:val="20"/>
              </w:rPr>
              <w:t xml:space="preserve">     Search + Cloud + AI + Autonomous</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$303</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$141 / $349</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$227</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Search Monopoly + YouTube + Android + Waymo</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Cash ~$85B — fortress balance sheet</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~0.07</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~19% CAGR</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~18–25% avg</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~25–28%</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25–32% as Cloud and Waymo monetize</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~8.5%</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$195 (8% gr, 9% WACC, 3% term)</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$360 (16% gr, 8.5%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$640 (24% gr, 8%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$786 (2.6x)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$1,595 (5.3x)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$2,910  (9.6x)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Three businesses, only one priced. Google Cloud growing 30%+ toward $50B. YouTube barely monetized vs. TV ad spend. Waymo is potentially worth hundreds of billions alone. 52-wk low was $141 — that was a once-in-5-year entry.</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DOJ antitrust forced breakup, AI search disruption, advertising cycle sensitivity</w:t>
            </w:r>
          </w:p>
        </w:tc>
      </w:tr>
    </w:tbl>
    <w:p>
      <w:pPr>
        <w:spacing w:after="18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1B3A6B" w:val="clear"/>
            <w:tcMar>
              <w:top w:type="dxa" w:w="100"/>
              <w:left w:type="dxa" w:w="160"/>
              <w:bottom w:type="dxa" w:w="100"/>
              <w:right w:type="dxa" w:w="160"/>
            </w:tcMar>
          </w:tcPr>
          <w:p>
            <w:r>
              <w:rPr>
                <w:rFonts w:ascii="Arial" w:cs="Arial" w:eastAsia="Arial" w:hAnsi="Arial"/>
                <w:b/>
                <w:bCs/>
                <w:color w:val="FFFFFF"/>
                <w:sz w:val="26"/>
                <w:szCs w:val="26"/>
              </w:rPr>
              <w:t xml:space="preserve">8. NU  —  Nu Holdings</w:t>
            </w:r>
            <w:r>
              <w:rPr>
                <w:rFonts w:ascii="Arial" w:cs="Arial" w:eastAsia="Arial" w:hAnsi="Arial"/>
                <w:b w:val="false"/>
                <w:bCs w:val="false"/>
                <w:color w:val="CCDDFF"/>
                <w:sz w:val="20"/>
                <w:szCs w:val="20"/>
              </w:rPr>
              <w:t xml:space="preserve">     LatAm Digital Banking</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$16.82</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$9.01 / $18.98</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$12.62</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Network Effects + Low-Cost Digital Model (vs. legacy banks)</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Cash position — asset-light digital bank model</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~0.3 (customer deposits, not leverage)</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N/A (profitable since 2023); EPS growing 38%+ YoY now</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Early-stage; recent ROIC 12–18%</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~15–18%</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20–30% as margins expand with scale</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~11% (EM premium)</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$8 (15% gr, 13% WACC, 3% term)</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$22 (30% gr, 11%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$55 (40% gr, 10%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$68 (4.0x)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$196 (11.7x)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$488  (29.0x)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Fastest-growing bank in history with 110M+ customers. Warren Buffett owns 30M shares personally. 52-wk low was $9.01 — bought at that level vs. base case yields 21.8x. Expanding into Mexico and Colombia.</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LatAm regulatory changes, credit losses if Brazilian economy deteriorates, FX</w:t>
            </w:r>
          </w:p>
        </w:tc>
      </w:tr>
    </w:tbl>
    <w:p>
      <w:pPr>
        <w:spacing w:after="18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1B3A6B" w:val="clear"/>
            <w:tcMar>
              <w:top w:type="dxa" w:w="100"/>
              <w:left w:type="dxa" w:w="160"/>
              <w:bottom w:type="dxa" w:w="100"/>
              <w:right w:type="dxa" w:w="160"/>
            </w:tcMar>
          </w:tcPr>
          <w:p>
            <w:r>
              <w:rPr>
                <w:rFonts w:ascii="Arial" w:cs="Arial" w:eastAsia="Arial" w:hAnsi="Arial"/>
                <w:b/>
                <w:bCs/>
                <w:color w:val="FFFFFF"/>
                <w:sz w:val="26"/>
                <w:szCs w:val="26"/>
              </w:rPr>
              <w:t xml:space="preserve">9. SE  —  Sea Limited</w:t>
            </w:r>
            <w:r>
              <w:rPr>
                <w:rFonts w:ascii="Arial" w:cs="Arial" w:eastAsia="Arial" w:hAnsi="Arial"/>
                <w:b w:val="false"/>
                <w:bCs w:val="false"/>
                <w:color w:val="CCDDFF"/>
                <w:sz w:val="20"/>
                <w:szCs w:val="20"/>
              </w:rPr>
              <w:t xml:space="preserve">     SEA E-Commerce + Gaming + Digital Banking</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$113</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$75 / $145</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$85</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First-Mover Dominance in 700M-Person SEA Market</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Cash ~$5B — strong balance sheet</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~0.35</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N/A (pivoting to profitability); FCF positive 2024</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Negative to early-positive (still scaling)</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~8–12%</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15–25% by 2027 as Shopee/SeaMoney mature</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~11% (SEA premium)</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$60 (10% gr, 13% WACC, 3% term)</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$150 (22% gr, 11%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$320 (32% gr, 10%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$351 (3.1x)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$1,030 (9.1x)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$2,040  (18.1x)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MercadoLibre of Southeast Asia. Shopee is #1 e-commerce platform across SEA. SeaMoney banking 650M+ underbanked people. 52-wk low was $75 — below MOS. Earlier in digitization curve than LatAm.</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Garena gaming revenue decline, intense Lazada/TikTok competition, SEA regulatory complexity</w:t>
            </w:r>
          </w:p>
        </w:tc>
      </w:tr>
    </w:tbl>
    <w:p>
      <w:pPr>
        <w:spacing w:after="18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1B3A6B" w:val="clear"/>
            <w:tcMar>
              <w:top w:type="dxa" w:w="100"/>
              <w:left w:type="dxa" w:w="160"/>
              <w:bottom w:type="dxa" w:w="100"/>
              <w:right w:type="dxa" w:w="160"/>
            </w:tcMar>
          </w:tcPr>
          <w:p>
            <w:r>
              <w:rPr>
                <w:rFonts w:ascii="Arial" w:cs="Arial" w:eastAsia="Arial" w:hAnsi="Arial"/>
                <w:b/>
                <w:bCs/>
                <w:color w:val="FFFFFF"/>
                <w:sz w:val="26"/>
                <w:szCs w:val="26"/>
              </w:rPr>
              <w:t xml:space="preserve">10. SHOP  —  Shopify</w:t>
            </w:r>
            <w:r>
              <w:rPr>
                <w:rFonts w:ascii="Arial" w:cs="Arial" w:eastAsia="Arial" w:hAnsi="Arial"/>
                <w:b w:val="false"/>
                <w:bCs w:val="false"/>
                <w:color w:val="CCDDFF"/>
                <w:sz w:val="20"/>
                <w:szCs w:val="20"/>
              </w:rPr>
              <w:t xml:space="preserve">     Global Commerce Operating System</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$123</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$70 / $182</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$92</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Merchant Ecosystem + Payment + Lending + Logistics Integration</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Cash ~$4.5B — very healthy</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~0.18</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N/A (profitable since 2022); FCF $2B in 2025</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Early-stage; now improving</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~12–16%</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18–25% as FCF compounds</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~10%</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$65 (12% gr, 11% WACC, 3% term)</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$145 (22% gr, 10%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$290 (30% gr, 9%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$381 (3.1x)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$885 (7.2x)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$1,655  (13.5x)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Operating system of global commerce. 30% revenue growth + $2B FCF in 2025 yet stock is down 32% from high. Payments, lending, logistics — not just a shopping cart. Merchant base compounds through thick and thin.</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Amazon competition, take-rate pressure, enterprise market harder than SMB</w:t>
            </w:r>
          </w:p>
        </w:tc>
      </w:tr>
    </w:tbl>
    <w:p>
      <w:pPr>
        <w:spacing w:after="18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1B3A6B" w:val="clear"/>
            <w:tcMar>
              <w:top w:type="dxa" w:w="100"/>
              <w:left w:type="dxa" w:w="160"/>
              <w:bottom w:type="dxa" w:w="100"/>
              <w:right w:type="dxa" w:w="160"/>
            </w:tcMar>
          </w:tcPr>
          <w:p>
            <w:r>
              <w:rPr>
                <w:rFonts w:ascii="Arial" w:cs="Arial" w:eastAsia="Arial" w:hAnsi="Arial"/>
                <w:b/>
                <w:bCs/>
                <w:color w:val="FFFFFF"/>
                <w:sz w:val="26"/>
                <w:szCs w:val="26"/>
              </w:rPr>
              <w:t xml:space="preserve">11. MCO  —  Moody's Corp.</w:t>
            </w:r>
            <w:r>
              <w:rPr>
                <w:rFonts w:ascii="Arial" w:cs="Arial" w:eastAsia="Arial" w:hAnsi="Arial"/>
                <w:b w:val="false"/>
                <w:bCs w:val="false"/>
                <w:color w:val="CCDDFF"/>
                <w:sz w:val="20"/>
                <w:szCs w:val="20"/>
              </w:rPr>
              <w:t xml:space="preserve">     Credit Ratings + Analytics Duopoly</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$448</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$379 / $547</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$336</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Regulatory Duopoly (only 3 NRSROs matter; Moody's is top 2)</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Debt ~$3.2B — modest vs. $2.4B FCF</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~0.85</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~18% CAGR (remarkably consistent)</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~18–28% avg</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~25–30%</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28–35% as private credit market expands</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~8.5%</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$280 (8% gr, 9% WACC, 3% term)</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$520 (16% gr, 8.5%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$850 (22% gr, 8%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$1,162 (2.6x)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$2,360 (5.3x)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$3,510  (7.8x)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Munger called it 'one of the best businesses ever seen.' Bond indentures legally require ratings. Zero capital needed to grow. Private credit market expansion adding entirely new rating category. Pairs with SPGI as a duopoly bet.</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Regulatory conflict-of-interest scrutiny, bond issuance cycle slowdown, rate sensitivity</w:t>
            </w:r>
          </w:p>
        </w:tc>
      </w:tr>
    </w:tbl>
    <w:p>
      <w:pPr>
        <w:spacing w:after="18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1B3A6B" w:val="clear"/>
            <w:tcMar>
              <w:top w:type="dxa" w:w="100"/>
              <w:left w:type="dxa" w:w="160"/>
              <w:bottom w:type="dxa" w:w="100"/>
              <w:right w:type="dxa" w:w="160"/>
            </w:tcMar>
          </w:tcPr>
          <w:p>
            <w:r>
              <w:rPr>
                <w:rFonts w:ascii="Arial" w:cs="Arial" w:eastAsia="Arial" w:hAnsi="Arial"/>
                <w:b/>
                <w:bCs/>
                <w:color w:val="FFFFFF"/>
                <w:sz w:val="26"/>
                <w:szCs w:val="26"/>
              </w:rPr>
              <w:t xml:space="preserve">12. META  —  Meta Platforms</w:t>
            </w:r>
            <w:r>
              <w:rPr>
                <w:rFonts w:ascii="Arial" w:cs="Arial" w:eastAsia="Arial" w:hAnsi="Arial"/>
                <w:b w:val="false"/>
                <w:bCs w:val="false"/>
                <w:color w:val="CCDDFF"/>
                <w:sz w:val="20"/>
                <w:szCs w:val="20"/>
              </w:rPr>
              <w:t xml:space="preserve">     Social Media + AI + Advertising</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$645</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$480 / $796</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$484</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Attention Monopoly (3.5B daily users across 4 platforms)</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Cash position — D/E 0.39, more cash than debt; pays dividend</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0.39</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~23% CAGR (10yr historical)</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~33% avg (10yr)</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~26–35%</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20–28% during capex heavy years; rebounds to 30%+ by 2028</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~9.5%</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$400 (10% gr, 10% WACC, 3% term — capex destroys value)</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$790 (18% gr, 9.5%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$1,400 (26% gr, 9%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$2,000 (3.1x)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$3,985 (6.2x)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$7,540  (11.7x)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3.5B daily active users is an unassailable moat. AI ad targeting driving 22% revenue growth. Management confirmed 2026 operating income exceeds 2025 despite $115-135B capex. Ackman calls it 'deeply discounted.' 52-wk low = MOS entry price.</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AI capex ROI unproven, Reality Labs losses ongoing, regulatory/antitrust in EU and US</w:t>
            </w:r>
          </w:p>
        </w:tc>
      </w:tr>
    </w:tbl>
    <w:p>
      <w:pPr>
        <w:spacing w:after="18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1B3A6B" w:val="clear"/>
            <w:tcMar>
              <w:top w:type="dxa" w:w="100"/>
              <w:left w:type="dxa" w:w="160"/>
              <w:bottom w:type="dxa" w:w="100"/>
              <w:right w:type="dxa" w:w="160"/>
            </w:tcMar>
          </w:tcPr>
          <w:p>
            <w:r>
              <w:rPr>
                <w:rFonts w:ascii="Arial" w:cs="Arial" w:eastAsia="Arial" w:hAnsi="Arial"/>
                <w:b/>
                <w:bCs/>
                <w:color w:val="FFFFFF"/>
                <w:sz w:val="26"/>
                <w:szCs w:val="26"/>
              </w:rPr>
              <w:t xml:space="preserve">13. MSFT  —  Microsoft</w:t>
            </w:r>
            <w:r>
              <w:rPr>
                <w:rFonts w:ascii="Arial" w:cs="Arial" w:eastAsia="Arial" w:hAnsi="Arial"/>
                <w:b w:val="false"/>
                <w:bCs w:val="false"/>
                <w:color w:val="CCDDFF"/>
                <w:sz w:val="20"/>
                <w:szCs w:val="20"/>
              </w:rPr>
              <w:t xml:space="preserve">     Cloud + AI + Enterprise Software</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$400</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$345 / $555</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$300</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Enterprise Software Lock-in + Azure + OpenAI Exclusivity</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Debt $33.8B — minimal vs. $77B FCF; D/E only 0.09</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0.09</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~18% CAGR (10yr)</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~25% avg (10yr)</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~22%</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22–28% as Copilot pricing expands across 365M Office licenses</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~8.5%</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$290 (8% gr, 9% WACC, 3% term)</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$480 (16% gr, 8.5%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$780 (22% gr, 8%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$1,037 (2.6x)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$2,107 (5.3x)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$3,815  (9.5x)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Every enterprise on earth already pays Microsoft. Copilot just made those contracts 30–50% more expensive — permanently. 20% of OpenAI revenue locked through 2032. Down 28% from ATH despite best-in-class fundamentals. Board member bought $2M personally.</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Azure growth deceleration, Copilot adoption slower than expected, government antitrust</w:t>
            </w:r>
          </w:p>
        </w:tc>
      </w:tr>
    </w:tbl>
    <w:p>
      <w:pPr>
        <w:spacing w:after="18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1B3A6B" w:val="clear"/>
            <w:tcMar>
              <w:top w:type="dxa" w:w="100"/>
              <w:left w:type="dxa" w:w="160"/>
              <w:bottom w:type="dxa" w:w="100"/>
              <w:right w:type="dxa" w:w="160"/>
            </w:tcMar>
          </w:tcPr>
          <w:p>
            <w:r>
              <w:rPr>
                <w:rFonts w:ascii="Arial" w:cs="Arial" w:eastAsia="Arial" w:hAnsi="Arial"/>
                <w:b/>
                <w:bCs/>
                <w:color w:val="FFFFFF"/>
                <w:sz w:val="26"/>
                <w:szCs w:val="26"/>
              </w:rPr>
              <w:t xml:space="preserve">14. SPGI  —  S&amp;P Global</w:t>
            </w:r>
            <w:r>
              <w:rPr>
                <w:rFonts w:ascii="Arial" w:cs="Arial" w:eastAsia="Arial" w:hAnsi="Arial"/>
                <w:b w:val="false"/>
                <w:bCs w:val="false"/>
                <w:color w:val="CCDDFF"/>
                <w:sz w:val="20"/>
                <w:szCs w:val="20"/>
              </w:rPr>
              <w:t xml:space="preserve">     Financial Data + Credit Ratings + Indices</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$420</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$382 / $579</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$315</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Structural Monopoly (S&amp;P 500 Index licensing + ratings duopoly)</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Debt ~$11.8B — manageable; $5.4B FCF annual</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0.38</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~13.5% CAGR (10yr historical)</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~8–12% avg (skewed by IHS Markit goodwill)</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~7–10% (goodwill-inflated denominator)</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12–16% as mobility spin-off cleans balance sheet</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~8.5%</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$260 (8% gr, 9% WACC, 3% term — base case intrinsic ~$432)</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$432 (14% gr, 8.5%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$750 (20% gr, 8%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$1,089 (2.6x)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$2,213 (5.3x)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$2,840  (6.8x)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Owns the S&amp;P 500 Index (every ETF forever pays SPGI). World's largest ratings agency. 53-year dividend growth streak — Dividend King. Down 27% from ATH on AI fear. Hit 52-wk low THIS WEEK. Mobility spin-off in 2026 unlocks shareholder value.</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AI disruption of data business (analyst concern), bond issuance cycle slowdown, IHS Markit integration drag</w:t>
            </w:r>
          </w:p>
        </w:tc>
      </w:tr>
    </w:tbl>
    <w:p>
      <w:pPr>
        <w:spacing w:after="180"/>
        <w:jc w:val="left"/>
      </w:pPr>
      <w:r>
        <w:rPr>
          <w:rFonts w:ascii="Arial" w:cs="Arial" w:eastAsia="Arial" w:hAnsi="Arial"/>
          <w:b w:val="false"/>
          <w:bCs w:val="false"/>
          <w:i w:val="false"/>
          <w:iCs w:val="false"/>
          <w:color w:val="111111"/>
          <w:sz w:val="20"/>
          <w:szCs w:val="20"/>
        </w:rPr>
        <w:t xml:space="preserve"/>
      </w:r>
    </w:p>
    <w:p>
      <w:r>
        <w:br w:type="page"/>
      </w:r>
    </w:p>
    <w:p>
      <w:pPr>
        <w:pStyle w:val="Heading1"/>
        <w:spacing w:before="360" w:after="180"/>
      </w:pPr>
      <w:r>
        <w:rPr>
          <w:rFonts w:ascii="Arial" w:cs="Arial" w:eastAsia="Arial" w:hAnsi="Arial"/>
          <w:b/>
          <w:bCs/>
          <w:color w:val="1B3A6B"/>
          <w:sz w:val="36"/>
          <w:szCs w:val="36"/>
        </w:rPr>
        <w:t xml:space="preserve">SECTION 2: 80% CONVICTION WATCHLIST — 2 STOCKS</w:t>
      </w:r>
    </w:p>
    <w:p>
      <w:pPr>
        <w:spacing w:after="120"/>
        <w:jc w:val="left"/>
      </w:pPr>
      <w:r>
        <w:rPr>
          <w:rFonts w:ascii="Arial" w:cs="Arial" w:eastAsia="Arial" w:hAnsi="Arial"/>
          <w:b/>
          <w:bCs/>
          <w:i w:val="false"/>
          <w:iCs w:val="false"/>
          <w:color w:val="111111"/>
          <w:sz w:val="20"/>
          <w:szCs w:val="20"/>
        </w:rPr>
        <w:t xml:space="preserve">These positions have compelling investment cases but carry specific risks that prevent 100% conviction. Monitor them closely. Both may graduate to the 100% list as risks clarify.</w:t>
      </w:r>
    </w:p>
    <w:p>
      <w:pPr>
        <w:pBdr>
          <w:bottom w:val="single" w:color="D4A017" w:sz="6" w:space="1"/>
        </w:pBdr>
        <w:spacing w:before="120" w:after="120"/>
      </w:pPr>
    </w:p>
    <w:p>
      <w:pPr>
        <w:spacing w:after="120"/>
        <w:jc w:val="left"/>
      </w:pPr>
      <w:r>
        <w:rPr>
          <w:rFonts w:ascii="Arial" w:cs="Arial" w:eastAsia="Arial" w:hAnsi="Arial"/>
          <w:b w:val="false"/>
          <w:bCs w:val="false"/>
          <w:i w:val="false"/>
          <w:iCs w:val="false"/>
          <w:color w:val="111111"/>
          <w:sz w:val="20"/>
          <w:szCs w:val="20"/>
        </w:rPr>
        <w:t xml:space="preserve"/>
      </w:r>
    </w:p>
    <w:p>
      <w:pPr>
        <w:pStyle w:val="Heading2"/>
        <w:spacing w:before="280" w:after="140"/>
      </w:pPr>
      <w:r>
        <w:rPr>
          <w:rFonts w:ascii="Arial" w:cs="Arial" w:eastAsia="Arial" w:hAnsi="Arial"/>
          <w:b/>
          <w:bCs/>
          <w:color w:val="0D6E7A"/>
          <w:sz w:val="28"/>
          <w:szCs w:val="28"/>
        </w:rPr>
        <w:t xml:space="preserve">Master Summary — 80% Conviction Watchlist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520"/>
        <w:gridCol w:w="720"/>
        <w:gridCol w:w="720"/>
        <w:gridCol w:w="800"/>
        <w:gridCol w:w="780"/>
        <w:gridCol w:w="780"/>
        <w:gridCol w:w="780"/>
        <w:gridCol w:w="780"/>
        <w:gridCol w:w="900"/>
      </w:tblGrid>
      <w:tr>
        <w:tc>
          <w:tcPr>
            <w:tcW w:type="dxa" w:w="78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Ticker</w:t>
            </w:r>
          </w:p>
        </w:tc>
        <w:tc>
          <w:tcPr>
            <w:tcW w:type="dxa" w:w="52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Price</w:t>
            </w:r>
          </w:p>
        </w:tc>
        <w:tc>
          <w:tcPr>
            <w:tcW w:type="dxa" w:w="72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52w Low</w:t>
            </w:r>
          </w:p>
        </w:tc>
        <w:tc>
          <w:tcPr>
            <w:tcW w:type="dxa" w:w="72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MOS Entry</w:t>
            </w:r>
          </w:p>
        </w:tc>
        <w:tc>
          <w:tcPr>
            <w:tcW w:type="dxa" w:w="80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Debt</w:t>
            </w:r>
          </w:p>
        </w:tc>
        <w:tc>
          <w:tcPr>
            <w:tcW w:type="dxa" w:w="78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EPS CAGR 10yr</w:t>
            </w:r>
          </w:p>
        </w:tc>
        <w:tc>
          <w:tcPr>
            <w:tcW w:type="dxa" w:w="78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ROIC 10yr</w:t>
            </w:r>
          </w:p>
        </w:tc>
        <w:tc>
          <w:tcPr>
            <w:tcW w:type="dxa" w:w="78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DCF Base</w:t>
            </w:r>
          </w:p>
        </w:tc>
        <w:tc>
          <w:tcPr>
            <w:tcW w:type="dxa" w:w="78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Base 10yr</w:t>
            </w:r>
          </w:p>
        </w:tc>
        <w:tc>
          <w:tcPr>
            <w:tcW w:type="dxa" w:w="90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Base Multiple</w:t>
            </w:r>
          </w:p>
        </w:tc>
      </w:tr>
      <w:tr>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BABA</w:t>
            </w:r>
          </w:p>
        </w:tc>
        <w:tc>
          <w:tcPr>
            <w:tcW w:type="dxa" w:w="5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$154</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$96</w:t>
            </w:r>
          </w:p>
        </w:tc>
        <w:tc>
          <w:tcPr>
            <w:tcW w:type="dxa" w:w="72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$116</w:t>
            </w:r>
          </w:p>
        </w:tc>
        <w:tc>
          <w:tcPr>
            <w:tcW w:type="dxa" w:w="8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0.27</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~18% CAGR historically</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~8–15% avg</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$149</w:t>
            </w:r>
          </w:p>
        </w:tc>
        <w:tc>
          <w:tcPr>
            <w:tcW w:type="dxa" w:w="7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$1,110</w:t>
            </w:r>
          </w:p>
        </w:tc>
        <w:tc>
          <w:tcPr>
            <w:tcW w:type="dxa" w:w="9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7.2x</w:t>
            </w:r>
          </w:p>
        </w:tc>
      </w:tr>
      <w:tr>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UBER</w:t>
            </w:r>
          </w:p>
        </w:tc>
        <w:tc>
          <w:tcPr>
            <w:tcW w:type="dxa" w:w="5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$73</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val="false"/>
                <w:bCs w:val="false"/>
                <w:i w:val="false"/>
                <w:iCs w:val="false"/>
                <w:color w:val="111111"/>
                <w:sz w:val="16"/>
                <w:szCs w:val="16"/>
              </w:rPr>
              <w:t xml:space="preserve">$61</w:t>
            </w:r>
          </w:p>
        </w:tc>
        <w:tc>
          <w:tcPr>
            <w:tcW w:type="dxa" w:w="72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6"/>
                <w:szCs w:val="16"/>
              </w:rPr>
              <w:t xml:space="preserve">$55</w:t>
            </w:r>
          </w:p>
        </w:tc>
        <w:tc>
          <w:tcPr>
            <w:tcW w:type="dxa" w:w="8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D/E 0.44</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N/A</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5"/>
                <w:szCs w:val="15"/>
              </w:rPr>
              <w:t xml:space="preserve">Recent: 12–17%</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0D6E7A"/>
                <w:sz w:val="16"/>
                <w:szCs w:val="16"/>
              </w:rPr>
              <w:t xml:space="preserve">$86</w:t>
            </w:r>
          </w:p>
        </w:tc>
        <w:tc>
          <w:tcPr>
            <w:tcW w:type="dxa" w:w="7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6"/>
                <w:szCs w:val="16"/>
              </w:rPr>
              <w:t xml:space="preserve">$450</w:t>
            </w:r>
          </w:p>
        </w:tc>
        <w:tc>
          <w:tcPr>
            <w:tcW w:type="dxa" w:w="9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6.2x</w:t>
            </w:r>
          </w:p>
        </w:tc>
      </w:tr>
    </w:tbl>
    <w:p>
      <w:pPr>
        <w:spacing w:after="200"/>
        <w:jc w:val="left"/>
      </w:pPr>
      <w:r>
        <w:rPr>
          <w:rFonts w:ascii="Arial" w:cs="Arial" w:eastAsia="Arial" w:hAnsi="Arial"/>
          <w:b w:val="false"/>
          <w:bCs w:val="false"/>
          <w:i w:val="false"/>
          <w:iCs w:val="false"/>
          <w:color w:val="111111"/>
          <w:sz w:val="20"/>
          <w:szCs w:val="20"/>
        </w:rP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0D6E7A" w:val="clear"/>
            <w:tcMar>
              <w:top w:type="dxa" w:w="100"/>
              <w:left w:type="dxa" w:w="160"/>
              <w:bottom w:type="dxa" w:w="100"/>
              <w:right w:type="dxa" w:w="160"/>
            </w:tcMar>
          </w:tcPr>
          <w:p>
            <w:r>
              <w:rPr>
                <w:rFonts w:ascii="Arial" w:cs="Arial" w:eastAsia="Arial" w:hAnsi="Arial"/>
                <w:b/>
                <w:bCs/>
                <w:color w:val="FFFFFF"/>
                <w:sz w:val="26"/>
                <w:szCs w:val="26"/>
              </w:rPr>
              <w:t xml:space="preserve">1. BABA  —  Alibaba Group</w:t>
            </w:r>
            <w:r>
              <w:rPr>
                <w:rFonts w:ascii="Arial" w:cs="Arial" w:eastAsia="Arial" w:hAnsi="Arial"/>
                <w:b w:val="false"/>
                <w:bCs w:val="false"/>
                <w:color w:val="CCDDFF"/>
                <w:sz w:val="20"/>
                <w:szCs w:val="20"/>
              </w:rPr>
              <w:t xml:space="preserve">     China E-Commerce + Cloud + Logistics</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$154</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$96 / $193</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$116</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Scale Moat + Ecosystem Lock-in (China's AWS + Amazon + FedEx)</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CASH ~$53B USD (CNY 428B cash vs CNY 248B debt)</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0.27</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~18% CAGR historically (erratic due to reg crackdown)</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~8–15% avg (penalized by goodwill and govt fines)</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~5–7% (depressed by investments)</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10–18% if China regulator eases and AI cloud grows</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~12% (China geopolitical premium)</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$75 (5% gr, 14% WACC, 2% term — worst-case China risk)</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$149 (14% gr, 12% WACC, 3%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$320 (22% gr, 10% WACC, 4%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$332 (2.2x)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$1,110 (7.2x)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$2,320  (15.1x)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Trading at 10–12x earnings for a business that controls Chinese e-commerce, cloud, and logistics. Two core platforms generate 113% of consolidated EBITDA. $53B net cash. Entire discount is geopolitical fear — normalization creates massive upside. 52-wk low was $96.</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China-US geopolitical conflict / delisting risk, regulatory crackdown recurrence, AI cloud competition from Huawei/ByteDance, VIE structure legal risk</w:t>
            </w:r>
          </w:p>
          <w:p>
            <w:pPr>
              <w:spacing w:before="60"/>
            </w:pPr>
            <w:r>
              <w:rPr>
                <w:rFonts w:ascii="Arial" w:cs="Arial" w:eastAsia="Arial" w:hAnsi="Arial"/>
                <w:b/>
                <w:bCs/>
                <w:color w:val="D4A017"/>
                <w:sz w:val="18"/>
                <w:szCs w:val="18"/>
              </w:rPr>
              <w:t xml:space="preserve">CONVICTION NOTE: 80% — Geopolitical uncertainty prevents 100% conviction despite compelling valuation</w:t>
            </w:r>
          </w:p>
        </w:tc>
      </w:tr>
    </w:tbl>
    <w:p>
      <w:pPr>
        <w:spacing w:after="180"/>
        <w:jc w:val="left"/>
      </w:pPr>
      <w:r>
        <w:rPr>
          <w:rFonts w:ascii="Arial" w:cs="Arial" w:eastAsia="Arial" w:hAnsi="Arial"/>
          <w:b w:val="false"/>
          <w:bCs w:val="false"/>
          <w:i w:val="false"/>
          <w:iCs w:val="false"/>
          <w:color w:val="111111"/>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gridSpan w:val="4"/>
            <w:tcBorders>
              <w:top w:val="single" w:color="D0D5DD" w:sz="1"/>
              <w:left w:val="single" w:color="D0D5DD" w:sz="1"/>
              <w:bottom w:val="single" w:color="D0D5DD" w:sz="1"/>
              <w:right w:val="single" w:color="D0D5DD" w:sz="1"/>
            </w:tcBorders>
            <w:shd w:fill="0D6E7A" w:val="clear"/>
            <w:tcMar>
              <w:top w:type="dxa" w:w="100"/>
              <w:left w:type="dxa" w:w="160"/>
              <w:bottom w:type="dxa" w:w="100"/>
              <w:right w:type="dxa" w:w="160"/>
            </w:tcMar>
          </w:tcPr>
          <w:p>
            <w:r>
              <w:rPr>
                <w:rFonts w:ascii="Arial" w:cs="Arial" w:eastAsia="Arial" w:hAnsi="Arial"/>
                <w:b/>
                <w:bCs/>
                <w:color w:val="FFFFFF"/>
                <w:sz w:val="26"/>
                <w:szCs w:val="26"/>
              </w:rPr>
              <w:t xml:space="preserve">2. UBER  —  Uber Technologies</w:t>
            </w:r>
            <w:r>
              <w:rPr>
                <w:rFonts w:ascii="Arial" w:cs="Arial" w:eastAsia="Arial" w:hAnsi="Arial"/>
                <w:b w:val="false"/>
                <w:bCs w:val="false"/>
                <w:color w:val="CCDDFF"/>
                <w:sz w:val="20"/>
                <w:szCs w:val="20"/>
              </w:rPr>
              <w:t xml:space="preserve">     Mobility + Delivery + Autonomous Vehicle Platform</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Current Price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$73</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52-Wk Low / High</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$61 / $102</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25% MOS Entry</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$55</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Moat Type</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Network Effects (driver-rider density makes competitors uneconomic)</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 Profile</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Net Debt ~$76M — essentially debt-neutral; $7.6B cash vs $12.3B debt</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Debt/Equity Ratio</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0.44</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EPS Growth (10yr)</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N/A (IPO 2019; EPS grew from -$6.81 to +$4.73 in 4 yrs)</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(10yr Avg)</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Recent: 12–17% (company only profitable since 2023)</w:t>
            </w:r>
          </w:p>
        </w:tc>
      </w:tr>
      <w:tr>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(Current)</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~14–17%</w:t>
            </w:r>
          </w:p>
        </w:tc>
        <w:tc>
          <w:tcPr>
            <w:tcW w:type="dxa" w:w="20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ROIC (Projected)</w:t>
            </w:r>
          </w:p>
        </w:tc>
        <w:tc>
          <w:tcPr>
            <w:tcW w:type="dxa" w:w="268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20–28% as AV partnerships scale and delivery margins expand</w:t>
            </w:r>
          </w:p>
        </w:tc>
      </w:tr>
      <w:tr>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WACC Used</w:t>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~10.5%</w:t>
            </w:r>
          </w:p>
        </w:tc>
        <w:tc>
          <w:tcPr>
            <w:tcW w:type="dxa" w:w="20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
            </w:r>
          </w:p>
        </w:tc>
        <w:tc>
          <w:tcPr>
            <w:tcW w:type="dxa" w:w="268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
            </w:r>
          </w:p>
        </w:tc>
      </w:tr>
      <w:tr>
        <w:tc>
          <w:tcPr>
            <w:gridSpan w:val="4"/>
            <w:tcBorders>
              <w:top w:val="single" w:color="0D6E7A" w:sz="2"/>
              <w:left w:val="single" w:color="D0D5DD" w:sz="1"/>
              <w:bottom w:val="single" w:color="D0D5DD" w:sz="1"/>
              <w:right w:val="single" w:color="D0D5DD" w:sz="1"/>
            </w:tcBorders>
            <w:shd w:fill="E8F4FD" w:val="clear"/>
            <w:tcMar>
              <w:top w:type="dxa" w:w="80"/>
              <w:left w:type="dxa" w:w="160"/>
              <w:bottom w:type="dxa" w:w="80"/>
              <w:right w:type="dxa" w:w="160"/>
            </w:tcMar>
          </w:tcPr>
          <w:p>
            <w:r>
              <w:rPr>
                <w:rFonts w:ascii="Arial" w:cs="Arial" w:eastAsia="Arial" w:hAnsi="Arial"/>
                <w:b/>
                <w:bCs/>
                <w:color w:val="0D6E7A"/>
                <w:sz w:val="20"/>
                <w:szCs w:val="20"/>
              </w:rPr>
              <w:t xml:space="preserve">DCF INTRINSIC VALUE  (Discounted Cash Flow — Present Value Today)</w:t>
            </w:r>
          </w:p>
        </w:tc>
      </w:tr>
      <w:tr>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DCF</w:t>
            </w:r>
          </w:p>
        </w:tc>
        <w:tc>
          <w:tcPr>
            <w:tcW w:type="dxa" w:w="234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$42 (8% gr, 12% WACC, 3% term)</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DCF</w:t>
            </w:r>
          </w:p>
        </w:tc>
        <w:tc>
          <w:tcPr>
            <w:tcW w:type="dxa" w:w="234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$86 (20% gr, 10.5% WACC, 4% term)</w:t>
            </w:r>
          </w:p>
        </w:tc>
      </w:tr>
      <w:tr>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0"/>
                <w:szCs w:val="20"/>
              </w:rPr>
              <w:t xml:space="preserve">🐂 Bull DCF     </w:t>
            </w:r>
            <w:r>
              <w:rPr>
                <w:rFonts w:ascii="Arial" w:cs="Arial" w:eastAsia="Arial" w:hAnsi="Arial"/>
                <w:b/>
                <w:bCs/>
                <w:color w:val="1A7A4A"/>
                <w:sz w:val="20"/>
                <w:szCs w:val="20"/>
              </w:rPr>
              <w:t xml:space="preserve">$175 (28% gr, 9.5% WACC, 5% term)</w:t>
            </w:r>
          </w:p>
        </w:tc>
        <w:tc>
          <w:tcPr>
            <w:gridSpan w:val="2"/>
            <w:tcBorders>
              <w:top w:val="single" w:color="D0D5DD" w:sz="1"/>
              <w:left w:val="single" w:color="D0D5DD" w:sz="1"/>
              <w:bottom w:val="single" w:color="D0D5DD" w:sz="1"/>
              <w:right w:val="single" w:color="D0D5DD" w:sz="1"/>
            </w:tcBorders>
            <w:shd w:fill="F0FFF4" w:val="clear"/>
            <w:tcMar>
              <w:top w:type="dxa" w:w="80"/>
              <w:left w:type="dxa" w:w="160"/>
              <w:bottom w:type="dxa" w:w="80"/>
              <w:right w:type="dxa" w:w="160"/>
            </w:tcMar>
          </w:tcPr>
          <w:p>
            <w:pPr>
              <w:jc w:val="center"/>
            </w:pPr>
            <w:r>
              <w:rPr>
                <w:rFonts w:ascii="Arial" w:cs="Arial" w:eastAsia="Arial" w:hAnsi="Arial"/>
                <w:color w:val="555555"/>
                <w:sz w:val="18"/>
                <w:szCs w:val="18"/>
              </w:rPr>
              <w:t xml:space="preserve">Note: DCF = today's intrinsic value. 10yr targets below = future stock price.</w:t>
            </w:r>
          </w:p>
        </w:tc>
      </w:tr>
      <w:tr>
        <w:tc>
          <w:tcPr>
            <w:gridSpan w:val="4"/>
            <w:tcBorders>
              <w:top w:val="single" w:color="D4A017" w:sz="2"/>
              <w:left w:val="single" w:color="D0D5DD" w:sz="1"/>
              <w:bottom w:val="single" w:color="D0D5DD" w:sz="1"/>
              <w:right w:val="single" w:color="D0D5DD" w:sz="1"/>
            </w:tcBorders>
            <w:shd w:fill="FDF6EC" w:val="clear"/>
            <w:tcMar>
              <w:top w:type="dxa" w:w="80"/>
              <w:left w:type="dxa" w:w="160"/>
              <w:bottom w:type="dxa" w:w="80"/>
              <w:right w:type="dxa" w:w="160"/>
            </w:tcMar>
          </w:tcPr>
          <w:p>
            <w:r>
              <w:rPr>
                <w:rFonts w:ascii="Arial" w:cs="Arial" w:eastAsia="Arial" w:hAnsi="Arial"/>
                <w:b/>
                <w:bCs/>
                <w:color w:val="D4A017"/>
                <w:sz w:val="20"/>
                <w:szCs w:val="20"/>
              </w:rPr>
              <w:t xml:space="preserve">10-YEAR PRICE TARGETS  (Estimated stock price in 2036)</w:t>
            </w:r>
          </w:p>
        </w:tc>
      </w:tr>
      <w:tr>
        <w:tc>
          <w:tcPr>
            <w:tcW w:type="dxa" w:w="15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 Bear 2036</w:t>
            </w:r>
          </w:p>
        </w:tc>
        <w:tc>
          <w:tcPr>
            <w:tcW w:type="dxa" w:w="21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$190 (2.6x)</w:t>
            </w:r>
          </w:p>
        </w:tc>
        <w:tc>
          <w:tcPr>
            <w:tcW w:type="dxa" w:w="15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 Base 2036</w:t>
            </w:r>
          </w:p>
        </w:tc>
        <w:tc>
          <w:tcPr>
            <w:tcW w:type="dxa" w:w="21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$450 (6.2x)</w:t>
            </w:r>
          </w:p>
        </w:tc>
      </w:tr>
      <w:tr>
        <w:tc>
          <w:tcPr>
            <w:gridSpan w:val="4"/>
            <w:tcBorders>
              <w:top w:val="single" w:color="D0D5DD" w:sz="1"/>
              <w:left w:val="single" w:color="D0D5DD" w:sz="1"/>
              <w:bottom w:val="single" w:color="1A7A4A" w:sz="2"/>
              <w:right w:val="single" w:color="D0D5DD" w:sz="1"/>
            </w:tcBorders>
            <w:shd w:fill="F0FFF4" w:val="clear"/>
            <w:tcMar>
              <w:top w:type="dxa" w:w="80"/>
              <w:left w:type="dxa" w:w="160"/>
              <w:bottom w:type="dxa" w:w="80"/>
              <w:right w:type="dxa" w:w="160"/>
            </w:tcMar>
          </w:tcPr>
          <w:p>
            <w:pPr>
              <w:jc w:val="center"/>
            </w:pPr>
            <w:r>
              <w:rPr>
                <w:rFonts w:ascii="Arial" w:cs="Arial" w:eastAsia="Arial" w:hAnsi="Arial"/>
                <w:b/>
                <w:bCs/>
                <w:color w:val="1A7A4A"/>
                <w:sz w:val="22"/>
                <w:szCs w:val="22"/>
              </w:rPr>
              <w:t xml:space="preserve">🐂 Bull 2036:  $1,100  (15.1x)</w:t>
            </w:r>
          </w:p>
        </w:tc>
      </w:tr>
      <w:tr>
        <w:tc>
          <w:tcPr>
            <w:gridSpan w:val="4"/>
            <w:tcBorders>
              <w:top w:val="single" w:color="1B3A6B" w:sz="2"/>
              <w:left w:val="single" w:color="D0D5DD" w:sz="1"/>
              <w:bottom w:val="single" w:color="D0D5DD" w:sz="1"/>
              <w:right w:val="single" w:color="D0D5DD" w:sz="1"/>
            </w:tcBorders>
            <w:shd w:fill="F2F4F7" w:val="clear"/>
            <w:tcMar>
              <w:top w:type="dxa" w:w="80"/>
              <w:left w:type="dxa" w:w="160"/>
              <w:bottom w:type="dxa" w:w="80"/>
              <w:right w:type="dxa" w:w="160"/>
            </w:tcMar>
          </w:tcPr>
          <w:p>
            <w:r>
              <w:rPr>
                <w:rFonts w:ascii="Arial" w:cs="Arial" w:eastAsia="Arial" w:hAnsi="Arial"/>
                <w:b/>
                <w:bCs/>
                <w:color w:val="1B3A6B"/>
                <w:sz w:val="20"/>
                <w:szCs w:val="20"/>
              </w:rPr>
              <w:t xml:space="preserve">INVESTMENT THESIS</w:t>
            </w:r>
          </w:p>
          <w:p>
            <w:pPr>
              <w:spacing w:after="60"/>
            </w:pPr>
            <w:r>
              <w:rPr>
                <w:rFonts w:ascii="Arial" w:cs="Arial" w:eastAsia="Arial" w:hAnsi="Arial"/>
                <w:color w:val="111111"/>
                <w:sz w:val="18"/>
                <w:szCs w:val="18"/>
              </w:rPr>
              <w:t xml:space="preserve">$193B in 2025 gross bookings, $10B FCF, 200M+ monthly active users. Autonomous vehicles are Uber's hidden kicker — they're the aggregator for Waymo, Mobileye, May Mobility. 45+ analyst Buy ratings. $106 avg analyst target = 45% upside. 52-wk low $61 already below MOS.</w:t>
            </w:r>
          </w:p>
          <w:p>
            <w:r>
              <w:rPr>
                <w:rFonts w:ascii="Arial" w:cs="Arial" w:eastAsia="Arial" w:hAnsi="Arial"/>
                <w:b/>
                <w:bCs/>
                <w:color w:val="B22222"/>
                <w:sz w:val="18"/>
                <w:szCs w:val="18"/>
              </w:rPr>
              <w:t xml:space="preserve">KEY RISKS: </w:t>
            </w:r>
            <w:r>
              <w:rPr>
                <w:rFonts w:ascii="Arial" w:cs="Arial" w:eastAsia="Arial" w:hAnsi="Arial"/>
                <w:color w:val="B22222"/>
                <w:sz w:val="18"/>
                <w:szCs w:val="18"/>
              </w:rPr>
              <w:t xml:space="preserve">Autonomous vehicle disruption (ironic — could be both risk and opportunity), driver classification lawsuits, DoorDash competition in delivery, AV partnerships could be non-exclusive</w:t>
            </w:r>
          </w:p>
          <w:p>
            <w:pPr>
              <w:spacing w:before="60"/>
            </w:pPr>
            <w:r>
              <w:rPr>
                <w:rFonts w:ascii="Arial" w:cs="Arial" w:eastAsia="Arial" w:hAnsi="Arial"/>
                <w:b/>
                <w:bCs/>
                <w:color w:val="D4A017"/>
                <w:sz w:val="18"/>
                <w:szCs w:val="18"/>
              </w:rPr>
              <w:t xml:space="preserve">CONVICTION NOTE: 80% — AV disruption wildcard keeps this at 80%; could move to 100% conviction if AV partnerships solidify</w:t>
            </w:r>
          </w:p>
        </w:tc>
      </w:tr>
    </w:tbl>
    <w:p>
      <w:pPr>
        <w:spacing w:after="180"/>
        <w:jc w:val="left"/>
      </w:pPr>
      <w:r>
        <w:rPr>
          <w:rFonts w:ascii="Arial" w:cs="Arial" w:eastAsia="Arial" w:hAnsi="Arial"/>
          <w:b w:val="false"/>
          <w:bCs w:val="false"/>
          <w:i w:val="false"/>
          <w:iCs w:val="false"/>
          <w:color w:val="111111"/>
          <w:sz w:val="20"/>
          <w:szCs w:val="20"/>
        </w:rPr>
        <w:t xml:space="preserve"/>
      </w:r>
    </w:p>
    <w:p>
      <w:r>
        <w:br w:type="page"/>
      </w:r>
    </w:p>
    <w:p>
      <w:pPr>
        <w:pStyle w:val="Heading1"/>
        <w:spacing w:before="360" w:after="180"/>
      </w:pPr>
      <w:r>
        <w:rPr>
          <w:rFonts w:ascii="Arial" w:cs="Arial" w:eastAsia="Arial" w:hAnsi="Arial"/>
          <w:b/>
          <w:bCs/>
          <w:color w:val="1B3A6B"/>
          <w:sz w:val="36"/>
          <w:szCs w:val="36"/>
        </w:rPr>
        <w:t xml:space="preserve">Portfolio Construction &amp; The Skimming Strategy</w:t>
      </w:r>
    </w:p>
    <w:p>
      <w:pPr>
        <w:pBdr>
          <w:bottom w:val="single" w:color="D4A017" w:sz="6" w:space="1"/>
        </w:pBdr>
        <w:spacing w:before="120" w:after="120"/>
      </w:pPr>
    </w:p>
    <w:p>
      <w:pPr>
        <w:spacing w:after="120"/>
        <w:jc w:val="left"/>
      </w:pPr>
      <w:r>
        <w:rPr>
          <w:rFonts w:ascii="Arial" w:cs="Arial" w:eastAsia="Arial" w:hAnsi="Arial"/>
          <w:b/>
          <w:bCs/>
          <w:i w:val="false"/>
          <w:iCs w:val="false"/>
          <w:color w:val="111111"/>
          <w:sz w:val="22"/>
          <w:szCs w:val="22"/>
        </w:rPr>
        <w:t xml:space="preserve">You are 57. You have 40 years of potential compounding ahead. The math is staggering if you do one thing: do not interrupt the compounding.</w:t>
      </w:r>
    </w:p>
    <w:p>
      <w:pPr>
        <w:spacing w:before="200" w:after="100"/>
      </w:pPr>
      <w:r>
        <w:rPr>
          <w:rFonts w:ascii="Arial" w:cs="Arial" w:eastAsia="Arial" w:hAnsi="Arial"/>
          <w:b/>
          <w:bCs/>
          <w:color w:val="0D6E7A"/>
          <w:sz w:val="24"/>
          <w:szCs w:val="24"/>
        </w:rPr>
        <w:t xml:space="preserve">Suggested Allocation of $1.9M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2200"/>
        <w:gridCol w:w="2160"/>
      </w:tblGrid>
      <w:tr>
        <w:tc>
          <w:tcPr>
            <w:tcW w:type="dxa" w:w="260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Tier</w:t>
            </w:r>
          </w:p>
        </w:tc>
        <w:tc>
          <w:tcPr>
            <w:tcW w:type="dxa" w:w="240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Stocks</w:t>
            </w:r>
          </w:p>
        </w:tc>
        <w:tc>
          <w:tcPr>
            <w:tcW w:type="dxa" w:w="220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Allocation</w:t>
            </w:r>
          </w:p>
        </w:tc>
        <w:tc>
          <w:tcPr>
            <w:tcW w:type="dxa" w:w="2160"/>
            <w:tcBorders>
              <w:top w:val="single" w:color="D0D5DD" w:sz="1"/>
              <w:left w:val="single" w:color="D0D5DD" w:sz="1"/>
              <w:bottom w:val="single" w:color="D0D5DD" w:sz="1"/>
              <w:right w:val="single" w:color="D0D5DD" w:sz="1"/>
            </w:tcBorders>
            <w:shd w:fill="1B3A6B" w:val="clear"/>
            <w:tcMar>
              <w:top w:type="dxa" w:w="60"/>
              <w:left w:type="dxa" w:w="100"/>
              <w:bottom w:type="dxa" w:w="60"/>
              <w:right w:type="dxa" w:w="100"/>
            </w:tcMar>
            <w:vAlign w:val="center"/>
          </w:tcPr>
          <w:p>
            <w:pPr>
              <w:jc w:val="center"/>
            </w:pPr>
            <w:r>
              <w:rPr>
                <w:rFonts w:ascii="Arial" w:cs="Arial" w:eastAsia="Arial" w:hAnsi="Arial"/>
                <w:b/>
                <w:bCs/>
                <w:i w:val="false"/>
                <w:iCs w:val="false"/>
                <w:color w:val="FFFFFF"/>
                <w:sz w:val="16"/>
                <w:szCs w:val="16"/>
              </w:rPr>
              <w:t xml:space="preserve">Capital</w:t>
            </w:r>
          </w:p>
        </w:tc>
      </w:tr>
      <w:tr>
        <w:tc>
          <w:tcPr>
            <w:tcW w:type="dxa" w:w="26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Tier 1 — High-Growth Core</w:t>
            </w:r>
          </w:p>
        </w:tc>
        <w:tc>
          <w:tcPr>
            <w:tcW w:type="dxa" w:w="24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MELI, AMZN, NVDA, NU, SE</w:t>
            </w:r>
          </w:p>
        </w:tc>
        <w:tc>
          <w:tcPr>
            <w:tcW w:type="dxa" w:w="22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A7A4A"/>
                <w:sz w:val="18"/>
                <w:szCs w:val="18"/>
              </w:rPr>
              <w:t xml:space="preserve">45%</w:t>
            </w:r>
          </w:p>
        </w:tc>
        <w:tc>
          <w:tcPr>
            <w:tcW w:type="dxa" w:w="21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11111"/>
                <w:sz w:val="18"/>
                <w:szCs w:val="18"/>
              </w:rPr>
              <w:t xml:space="preserve">$855K</w:t>
            </w:r>
          </w:p>
        </w:tc>
      </w:tr>
      <w:tr>
        <w:tc>
          <w:tcPr>
            <w:tcW w:type="dxa" w:w="26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Tier 2 — Growth Compounders</w:t>
            </w:r>
          </w:p>
        </w:tc>
        <w:tc>
          <w:tcPr>
            <w:tcW w:type="dxa" w:w="24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FICO, CSU, SHOP, META, GOOGL, MSFT</w:t>
            </w:r>
          </w:p>
        </w:tc>
        <w:tc>
          <w:tcPr>
            <w:tcW w:type="dxa" w:w="22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0D6E7A"/>
                <w:sz w:val="18"/>
                <w:szCs w:val="18"/>
              </w:rPr>
              <w:t xml:space="preserve">35%</w:t>
            </w:r>
          </w:p>
        </w:tc>
        <w:tc>
          <w:tcPr>
            <w:tcW w:type="dxa" w:w="21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11111"/>
                <w:sz w:val="18"/>
                <w:szCs w:val="18"/>
              </w:rPr>
              <w:t xml:space="preserve">$665K</w:t>
            </w:r>
          </w:p>
        </w:tc>
      </w:tr>
      <w:tr>
        <w:tc>
          <w:tcPr>
            <w:tcW w:type="dxa" w:w="26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Tier 3 — Quality Anchors</w:t>
            </w:r>
          </w:p>
        </w:tc>
        <w:tc>
          <w:tcPr>
            <w:tcW w:type="dxa" w:w="24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V, MCO, SPGI</w:t>
            </w:r>
          </w:p>
        </w:tc>
        <w:tc>
          <w:tcPr>
            <w:tcW w:type="dxa" w:w="220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B3A6B"/>
                <w:sz w:val="18"/>
                <w:szCs w:val="18"/>
              </w:rPr>
              <w:t xml:space="preserve">13%</w:t>
            </w:r>
          </w:p>
        </w:tc>
        <w:tc>
          <w:tcPr>
            <w:tcW w:type="dxa" w:w="2160"/>
            <w:tcBorders>
              <w:top w:val="single" w:color="D0D5DD" w:sz="1"/>
              <w:left w:val="single" w:color="D0D5DD" w:sz="1"/>
              <w:bottom w:val="single" w:color="D0D5DD" w:sz="1"/>
              <w:right w:val="single" w:color="D0D5DD" w:sz="1"/>
            </w:tcBorders>
            <w:shd w:fill="FFFFFF" w:val="clear"/>
            <w:tcMar>
              <w:top w:type="dxa" w:w="60"/>
              <w:left w:type="dxa" w:w="100"/>
              <w:bottom w:type="dxa" w:w="60"/>
              <w:right w:type="dxa" w:w="100"/>
            </w:tcMar>
            <w:vAlign w:val="center"/>
          </w:tcPr>
          <w:p>
            <w:pPr>
              <w:jc w:val="center"/>
            </w:pPr>
            <w:r>
              <w:rPr>
                <w:rFonts w:ascii="Arial" w:cs="Arial" w:eastAsia="Arial" w:hAnsi="Arial"/>
                <w:b/>
                <w:bCs/>
                <w:i w:val="false"/>
                <w:iCs w:val="false"/>
                <w:color w:val="111111"/>
                <w:sz w:val="18"/>
                <w:szCs w:val="18"/>
              </w:rPr>
              <w:t xml:space="preserve">$247K</w:t>
            </w:r>
          </w:p>
        </w:tc>
      </w:tr>
      <w:tr>
        <w:tc>
          <w:tcPr>
            <w:tcW w:type="dxa" w:w="26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bCs/>
                <w:i w:val="false"/>
                <w:iCs w:val="false"/>
                <w:color w:val="111111"/>
                <w:sz w:val="18"/>
                <w:szCs w:val="18"/>
              </w:rPr>
              <w:t xml:space="preserve">Crash Deployment Reserve</w:t>
            </w:r>
          </w:p>
        </w:tc>
        <w:tc>
          <w:tcPr>
            <w:tcW w:type="dxa" w:w="24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left"/>
            </w:pPr>
            <w:r>
              <w:rPr>
                <w:rFonts w:ascii="Arial" w:cs="Arial" w:eastAsia="Arial" w:hAnsi="Arial"/>
                <w:b w:val="false"/>
                <w:bCs w:val="false"/>
                <w:i w:val="false"/>
                <w:iCs w:val="false"/>
                <w:color w:val="111111"/>
                <w:sz w:val="18"/>
                <w:szCs w:val="18"/>
              </w:rPr>
              <w:t xml:space="preserve">Cash — deploy at 30%+ market drops</w:t>
            </w:r>
          </w:p>
        </w:tc>
        <w:tc>
          <w:tcPr>
            <w:tcW w:type="dxa" w:w="220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B22222"/>
                <w:sz w:val="18"/>
                <w:szCs w:val="18"/>
              </w:rPr>
              <w:t xml:space="preserve">7%</w:t>
            </w:r>
          </w:p>
        </w:tc>
        <w:tc>
          <w:tcPr>
            <w:tcW w:type="dxa" w:w="2160"/>
            <w:tcBorders>
              <w:top w:val="single" w:color="D0D5DD" w:sz="1"/>
              <w:left w:val="single" w:color="D0D5DD" w:sz="1"/>
              <w:bottom w:val="single" w:color="D0D5DD" w:sz="1"/>
              <w:right w:val="single" w:color="D0D5DD" w:sz="1"/>
            </w:tcBorders>
            <w:shd w:fill="F2F4F7" w:val="clear"/>
            <w:tcMar>
              <w:top w:type="dxa" w:w="60"/>
              <w:left w:type="dxa" w:w="100"/>
              <w:bottom w:type="dxa" w:w="60"/>
              <w:right w:type="dxa" w:w="100"/>
            </w:tcMar>
            <w:vAlign w:val="center"/>
          </w:tcPr>
          <w:p>
            <w:pPr>
              <w:jc w:val="center"/>
            </w:pPr>
            <w:r>
              <w:rPr>
                <w:rFonts w:ascii="Arial" w:cs="Arial" w:eastAsia="Arial" w:hAnsi="Arial"/>
                <w:b/>
                <w:bCs/>
                <w:i w:val="false"/>
                <w:iCs w:val="false"/>
                <w:color w:val="111111"/>
                <w:sz w:val="18"/>
                <w:szCs w:val="18"/>
              </w:rPr>
              <w:t xml:space="preserve">$133K</w:t>
            </w:r>
          </w:p>
        </w:tc>
      </w:tr>
    </w:tbl>
    <w:p>
      <w:pPr>
        <w:spacing w:after="120"/>
        <w:jc w:val="left"/>
      </w:pPr>
      <w:r>
        <w:rPr>
          <w:rFonts w:ascii="Arial" w:cs="Arial" w:eastAsia="Arial" w:hAnsi="Arial"/>
          <w:b w:val="false"/>
          <w:bCs w:val="false"/>
          <w:i w:val="false"/>
          <w:iCs w:val="false"/>
          <w:color w:val="111111"/>
          <w:sz w:val="20"/>
          <w:szCs w:val="20"/>
        </w:rPr>
        <w:t xml:space="preserve"/>
      </w:r>
    </w:p>
    <w:p>
      <w:pPr>
        <w:spacing w:before="200" w:after="100"/>
      </w:pPr>
      <w:r>
        <w:rPr>
          <w:rFonts w:ascii="Arial" w:cs="Arial" w:eastAsia="Arial" w:hAnsi="Arial"/>
          <w:b/>
          <w:bCs/>
          <w:color w:val="1A7A4A"/>
          <w:sz w:val="24"/>
          <w:szCs w:val="24"/>
        </w:rPr>
        <w:t xml:space="preserve">The Annual Skim — Living Well While Compounding</w:t>
      </w:r>
    </w:p>
    <w:p>
      <w:pPr>
        <w:spacing w:after="120"/>
        <w:jc w:val="left"/>
      </w:pPr>
      <w:r>
        <w:rPr>
          <w:rFonts w:ascii="Arial" w:cs="Arial" w:eastAsia="Arial" w:hAnsi="Arial"/>
          <w:b w:val="false"/>
          <w:bCs w:val="false"/>
          <w:i w:val="false"/>
          <w:iCs w:val="false"/>
          <w:color w:val="111111"/>
          <w:sz w:val="20"/>
          <w:szCs w:val="20"/>
        </w:rPr>
        <w:t xml:space="preserve">The Goodwill Fund philosophy: compound the portfolio, skim 3% per year for lifestyle, let the rest grow. At $1.9M, 3% = $57,000/year in Year 1. At $10M (Year 10 target), 3% = $300,000/year. At $20M, you're taking $600,000 annually while the base keeps growing. You can't take it with you — so enjoy it in full.</w:t>
      </w:r>
    </w:p>
    <w:p>
      <w:pPr>
        <w:spacing w:after="120"/>
        <w:jc w:val="left"/>
      </w:pPr>
      <w:r>
        <w:rPr>
          <w:rFonts w:ascii="Arial" w:cs="Arial" w:eastAsia="Arial" w:hAnsi="Arial"/>
          <w:b/>
          <w:bCs/>
          <w:i w:val="false"/>
          <w:iCs w:val="false"/>
          <w:color w:val="1A7A4A"/>
          <w:sz w:val="20"/>
          <w:szCs w:val="20"/>
        </w:rPr>
        <w:t xml:space="preserve">Projected 10-Year Skim Total: ~$1.2–1.8M taken out cumulatively while portfolio still grows to $10M+.</w:t>
      </w:r>
    </w:p>
    <w:p>
      <w:pPr>
        <w:spacing w:after="120"/>
        <w:jc w:val="left"/>
      </w:pPr>
      <w:r>
        <w:rPr>
          <w:rFonts w:ascii="Arial" w:cs="Arial" w:eastAsia="Arial" w:hAnsi="Arial"/>
          <w:b w:val="false"/>
          <w:bCs w:val="false"/>
          <w:i w:val="false"/>
          <w:iCs w:val="false"/>
          <w:color w:val="111111"/>
          <w:sz w:val="20"/>
          <w:szCs w:val="20"/>
        </w:rPr>
        <w:t xml:space="preserve"/>
      </w:r>
    </w:p>
    <w:p>
      <w:pPr>
        <w:spacing w:before="200" w:after="100"/>
      </w:pPr>
      <w:r>
        <w:rPr>
          <w:rFonts w:ascii="Arial" w:cs="Arial" w:eastAsia="Arial" w:hAnsi="Arial"/>
          <w:b/>
          <w:bCs/>
          <w:color w:val="B22222"/>
          <w:sz w:val="24"/>
          <w:szCs w:val="24"/>
        </w:rPr>
        <w:t xml:space="preserve">Three Non-Negotiable Rules</w:t>
      </w:r>
    </w:p>
    <w:p>
      <w:pPr>
        <w:spacing w:after="120"/>
        <w:jc w:val="left"/>
      </w:pPr>
      <w:r>
        <w:rPr>
          <w:rFonts w:ascii="Arial" w:cs="Arial" w:eastAsia="Arial" w:hAnsi="Arial"/>
          <w:b w:val="false"/>
          <w:bCs w:val="false"/>
          <w:i w:val="false"/>
          <w:iCs w:val="false"/>
          <w:color w:val="111111"/>
          <w:sz w:val="20"/>
          <w:szCs w:val="20"/>
        </w:rPr>
        <w:t xml:space="preserve">Rule 1 — Never sell during a crash. Your best returns come from buying more, not selling. Every stock here has dropped 40–80% before making investors rich.</w:t>
      </w:r>
    </w:p>
    <w:p>
      <w:pPr>
        <w:spacing w:after="120"/>
        <w:jc w:val="left"/>
      </w:pPr>
      <w:r>
        <w:rPr>
          <w:rFonts w:ascii="Arial" w:cs="Arial" w:eastAsia="Arial" w:hAnsi="Arial"/>
          <w:b w:val="false"/>
          <w:bCs w:val="false"/>
          <w:i w:val="false"/>
          <w:iCs w:val="false"/>
          <w:color w:val="111111"/>
          <w:sz w:val="20"/>
          <w:szCs w:val="20"/>
        </w:rPr>
        <w:t xml:space="preserve">Rule 2 — Annual review only. Do not check prices daily. Look once a year. Does the business still have its moat? Is management still excellent? If yes to both — do nothing.</w:t>
      </w:r>
    </w:p>
    <w:p>
      <w:pPr>
        <w:spacing w:after="120"/>
        <w:jc w:val="left"/>
      </w:pPr>
      <w:r>
        <w:rPr>
          <w:rFonts w:ascii="Arial" w:cs="Arial" w:eastAsia="Arial" w:hAnsi="Arial"/>
          <w:b w:val="false"/>
          <w:bCs w:val="false"/>
          <w:i w:val="false"/>
          <w:iCs w:val="false"/>
          <w:color w:val="111111"/>
          <w:sz w:val="20"/>
          <w:szCs w:val="20"/>
        </w:rPr>
        <w:t xml:space="preserve">Rule 3 — Tax-coordinate all transactions with your CPA. The April 2026 Roth conversion window, the FireLots real estate proceeds, and the W-2 restructuring at Tuckerton Lumber are all moving parts that must be sequenced correctly.</w:t>
      </w:r>
    </w:p>
    <w:p>
      <w:pPr>
        <w:spacing w:after="120"/>
        <w:jc w:val="left"/>
      </w:pPr>
      <w:r>
        <w:rPr>
          <w:rFonts w:ascii="Arial" w:cs="Arial" w:eastAsia="Arial" w:hAnsi="Arial"/>
          <w:b w:val="false"/>
          <w:bCs w:val="false"/>
          <w:i w:val="false"/>
          <w:iCs w:val="false"/>
          <w:color w:val="111111"/>
          <w:sz w:val="20"/>
          <w:szCs w:val="20"/>
        </w:rPr>
        <w:t xml:space="preserve"/>
      </w:r>
    </w:p>
    <w:p>
      <w:pPr>
        <w:pBdr>
          <w:bottom w:val="single" w:color="D4A017" w:sz="6" w:space="1"/>
        </w:pBdr>
        <w:spacing w:before="120" w:after="120"/>
      </w:pPr>
    </w:p>
    <w:p>
      <w:pPr>
        <w:spacing w:after="120"/>
        <w:jc w:val="center"/>
      </w:pPr>
      <w:r>
        <w:rPr>
          <w:rFonts w:ascii="Arial" w:cs="Arial" w:eastAsia="Arial" w:hAnsi="Arial"/>
          <w:b w:val="false"/>
          <w:bCs w:val="false"/>
          <w:i/>
          <w:iCs/>
          <w:color w:val="D0D5DD"/>
          <w:sz w:val="20"/>
          <w:szCs w:val="20"/>
        </w:rPr>
        <w:t xml:space="preserve">Prepared by: The Goodwill Fund Research Committee  |  February 20, 2026</w:t>
      </w:r>
    </w:p>
    <w:p>
      <w:pPr>
        <w:spacing w:after="120"/>
        <w:jc w:val="center"/>
      </w:pPr>
      <w:r>
        <w:rPr>
          <w:rFonts w:ascii="Arial" w:cs="Arial" w:eastAsia="Arial" w:hAnsi="Arial"/>
          <w:b w:val="false"/>
          <w:bCs w:val="false"/>
          <w:i/>
          <w:iCs/>
          <w:color w:val="B22222"/>
          <w:sz w:val="20"/>
          <w:szCs w:val="20"/>
        </w:rPr>
        <w:t xml:space="preserve">Not financial advice. For personal investment research only. Consult your licensed CPA and financial advisor.</w:t>
      </w:r>
    </w:p>
    <w:sectPr>
      <w:footerReference w:type="default" r:id="rId6"/>
      <w:pgSz w:w="15840" w:h="122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D0D5DD"/>
        <w:sz w:val="16"/>
        <w:szCs w:val="16"/>
      </w:rPr>
      <w:t xml:space="preserve">THE GOODWILL FUND  |  February 2026  |  Confidential  |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1B3A6B"/>
      <w:sz w:val="36"/>
      <w:szCs w:val="36"/>
    </w:rPr>
  </w:style>
  <w:style w:type="paragraph" w:styleId="Heading2">
    <w:name w:val="Heading 2"/>
    <w:basedOn w:val="Normal"/>
    <w:next w:val="Normal"/>
    <w:qFormat/>
    <w:pPr>
      <w:spacing w:before="240" w:after="120"/>
      <w:outlineLvl w:val="1"/>
    </w:pPr>
    <w:rPr>
      <w:rFonts w:ascii="Arial" w:cs="Arial" w:eastAsia="Arial" w:hAnsi="Arial"/>
      <w:b/>
      <w:bCs/>
      <w:color w:val="0D6E7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2026-02-20T13:35:11.544Z</dcterms:created>
  <dcterms:modified xsi:type="dcterms:W3CDTF">2026-02-20T13:35:11.546Z</dcterms:modified>
</cp:coreProperties>
</file>

<file path=docProps/custom.xml><?xml version="1.0" encoding="utf-8"?>
<Properties xmlns="http://schemas.openxmlformats.org/officeDocument/2006/custom-properties" xmlns:vt="http://schemas.openxmlformats.org/officeDocument/2006/docPropsVTypes"/>
</file>